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BB" w:rsidRPr="00BE7AD7" w:rsidRDefault="00322387" w:rsidP="00322387">
      <w:pPr>
        <w:pStyle w:val="NoSpacing"/>
        <w:jc w:val="center"/>
        <w:rPr>
          <w:rFonts w:ascii="Times New Roman" w:hAnsi="Times New Roman" w:cs="Times New Roman"/>
          <w:b/>
          <w:sz w:val="20"/>
          <w:szCs w:val="20"/>
        </w:rPr>
      </w:pPr>
      <w:r w:rsidRPr="00BE7AD7">
        <w:rPr>
          <w:rFonts w:ascii="Times New Roman" w:hAnsi="Times New Roman" w:cs="Times New Roman"/>
          <w:b/>
          <w:sz w:val="20"/>
          <w:szCs w:val="20"/>
        </w:rPr>
        <w:t>FILL IN CLAUSES</w:t>
      </w:r>
    </w:p>
    <w:p w:rsidR="00322387" w:rsidRDefault="00322387" w:rsidP="00322387">
      <w:pPr>
        <w:pStyle w:val="NoSpacing"/>
        <w:jc w:val="center"/>
        <w:rPr>
          <w:rFonts w:ascii="Times New Roman" w:hAnsi="Times New Roman" w:cs="Times New Roman"/>
          <w:sz w:val="20"/>
          <w:szCs w:val="20"/>
        </w:rPr>
      </w:pPr>
    </w:p>
    <w:p w:rsidR="00322387" w:rsidRDefault="00322387" w:rsidP="00322387">
      <w:pPr>
        <w:pStyle w:val="NoSpacing"/>
        <w:rPr>
          <w:rFonts w:ascii="Times New Roman" w:hAnsi="Times New Roman" w:cs="Times New Roman"/>
          <w:sz w:val="20"/>
          <w:szCs w:val="20"/>
        </w:rPr>
      </w:pPr>
      <w:r>
        <w:rPr>
          <w:rFonts w:ascii="Times New Roman" w:hAnsi="Times New Roman" w:cs="Times New Roman"/>
          <w:sz w:val="20"/>
          <w:szCs w:val="20"/>
        </w:rPr>
        <w:t>Certain solicitation clauses have been uploaded with the solicitation, which are to be completed by the Offeror and saved and submitted as File 3.  These clauses are contained in this document.</w:t>
      </w:r>
    </w:p>
    <w:p w:rsidR="00322387" w:rsidRDefault="00322387" w:rsidP="00322387">
      <w:pPr>
        <w:pStyle w:val="NoSpacing"/>
        <w:rPr>
          <w:rFonts w:ascii="Times New Roman" w:hAnsi="Times New Roman" w:cs="Times New Roman"/>
          <w:sz w:val="20"/>
          <w:szCs w:val="20"/>
        </w:rPr>
      </w:pPr>
    </w:p>
    <w:p w:rsidR="00322387" w:rsidRDefault="00322387" w:rsidP="00322387">
      <w:pPr>
        <w:pStyle w:val="NoSpacing"/>
        <w:rPr>
          <w:rFonts w:ascii="Times New Roman" w:hAnsi="Times New Roman" w:cs="Times New Roman"/>
          <w:sz w:val="20"/>
          <w:szCs w:val="20"/>
        </w:rPr>
      </w:pPr>
      <w:r>
        <w:rPr>
          <w:rFonts w:ascii="Times New Roman" w:hAnsi="Times New Roman" w:cs="Times New Roman"/>
          <w:sz w:val="20"/>
          <w:szCs w:val="20"/>
        </w:rPr>
        <w:t xml:space="preserve">All areas marked as TBD in these clauses are to be filled in by the Offeror.  This information shall then be utilized to complete these specific areas prior to contract award.  </w:t>
      </w:r>
    </w:p>
    <w:p w:rsidR="00BE7AD7" w:rsidRDefault="00BE7AD7" w:rsidP="00322387">
      <w:pPr>
        <w:pStyle w:val="NoSpacing"/>
        <w:rPr>
          <w:rFonts w:ascii="Times New Roman" w:hAnsi="Times New Roman" w:cs="Times New Roman"/>
          <w:sz w:val="20"/>
          <w:szCs w:val="20"/>
        </w:rPr>
      </w:pPr>
    </w:p>
    <w:p w:rsidR="00C13B13" w:rsidRPr="00C13B13" w:rsidRDefault="00815190" w:rsidP="00815190">
      <w:pPr>
        <w:pStyle w:val="Heading1"/>
        <w:keepNext w:val="0"/>
        <w:keepLines w:val="0"/>
        <w:widowControl w:val="0"/>
        <w:tabs>
          <w:tab w:val="left" w:pos="821"/>
        </w:tabs>
        <w:spacing w:before="0" w:line="240" w:lineRule="auto"/>
        <w:rPr>
          <w:rFonts w:ascii="Times New Roman" w:hAnsi="Times New Roman" w:cs="Times New Roman"/>
          <w:color w:val="auto"/>
          <w:spacing w:val="-1"/>
          <w:sz w:val="20"/>
          <w:szCs w:val="20"/>
        </w:rPr>
      </w:pPr>
      <w:bookmarkStart w:id="0" w:name="_Toc414621409"/>
      <w:r>
        <w:rPr>
          <w:rFonts w:ascii="Times New Roman" w:hAnsi="Times New Roman" w:cs="Times New Roman"/>
          <w:color w:val="auto"/>
          <w:sz w:val="20"/>
          <w:szCs w:val="20"/>
        </w:rPr>
        <w:t xml:space="preserve">H.10 </w:t>
      </w:r>
      <w:r w:rsidR="00C13B13" w:rsidRPr="00C13B13">
        <w:rPr>
          <w:rFonts w:ascii="Times New Roman" w:hAnsi="Times New Roman" w:cs="Times New Roman"/>
          <w:color w:val="auto"/>
          <w:sz w:val="20"/>
          <w:szCs w:val="20"/>
        </w:rPr>
        <w:t>PRIOR APPROVAL REQUIREMENTS FOR PLACEMENT OF SUBCONTRACTS AND/OR CONSULTANTS</w:t>
      </w:r>
      <w:bookmarkEnd w:id="0"/>
    </w:p>
    <w:p w:rsidR="00C13B13" w:rsidRPr="00C13B13" w:rsidRDefault="00C13B13" w:rsidP="00C13B13">
      <w:pPr>
        <w:rPr>
          <w:rFonts w:ascii="Times New Roman" w:hAnsi="Times New Roman"/>
          <w:sz w:val="20"/>
          <w:szCs w:val="20"/>
        </w:rPr>
      </w:pPr>
    </w:p>
    <w:p w:rsidR="00C13B13" w:rsidRPr="00C13B13" w:rsidRDefault="00C13B13" w:rsidP="00C13B13">
      <w:pPr>
        <w:rPr>
          <w:rFonts w:ascii="Times New Roman" w:hAnsi="Times New Roman"/>
          <w:sz w:val="20"/>
          <w:szCs w:val="20"/>
        </w:rPr>
      </w:pPr>
      <w:r w:rsidRPr="00C13B13">
        <w:rPr>
          <w:rFonts w:ascii="Times New Roman" w:hAnsi="Times New Roman"/>
          <w:sz w:val="20"/>
          <w:szCs w:val="20"/>
        </w:rPr>
        <w:t>The Contractor shall obtain the Contracting Officer's written consent before placing any subcontract, including consultants, for which advance notification is required under FAR 52.244-2, "Subcontracts".</w:t>
      </w:r>
    </w:p>
    <w:p w:rsidR="00C13B13" w:rsidRPr="00C13B13" w:rsidRDefault="00C13B13" w:rsidP="00C13B13">
      <w:pPr>
        <w:rPr>
          <w:rFonts w:ascii="Times New Roman" w:hAnsi="Times New Roman"/>
          <w:sz w:val="20"/>
          <w:szCs w:val="20"/>
        </w:rPr>
      </w:pPr>
      <w:r w:rsidRPr="00C13B13">
        <w:rPr>
          <w:rFonts w:ascii="Times New Roman" w:hAnsi="Times New Roman"/>
          <w:sz w:val="20"/>
          <w:szCs w:val="20"/>
        </w:rPr>
        <w:t xml:space="preserve">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 </w:t>
      </w:r>
    </w:p>
    <w:p w:rsidR="00C13B13" w:rsidRPr="00C13B13" w:rsidRDefault="00C13B13" w:rsidP="00C13B13">
      <w:pPr>
        <w:rPr>
          <w:rFonts w:ascii="Times New Roman" w:hAnsi="Times New Roman"/>
          <w:sz w:val="20"/>
          <w:szCs w:val="20"/>
        </w:rPr>
      </w:pPr>
      <w:r w:rsidRPr="00C13B13">
        <w:rPr>
          <w:rFonts w:ascii="Times New Roman" w:hAnsi="Times New Roman"/>
          <w:sz w:val="20"/>
          <w:szCs w:val="20"/>
        </w:rPr>
        <w:t xml:space="preserve">Except as may be expressly set forth therein, any consent by the Contracting Officer to the placement of subcontracts and/or consultants shall not be construed to constitute approval of the subcontractor or any subcontract terms or conditions, determination of the </w:t>
      </w:r>
      <w:proofErr w:type="spellStart"/>
      <w:r w:rsidRPr="00C13B13">
        <w:rPr>
          <w:rFonts w:ascii="Times New Roman" w:hAnsi="Times New Roman"/>
          <w:sz w:val="20"/>
          <w:szCs w:val="20"/>
        </w:rPr>
        <w:t>allowability</w:t>
      </w:r>
      <w:proofErr w:type="spellEnd"/>
      <w:r w:rsidRPr="00C13B13">
        <w:rPr>
          <w:rFonts w:ascii="Times New Roman" w:hAnsi="Times New Roman"/>
          <w:sz w:val="20"/>
          <w:szCs w:val="20"/>
        </w:rPr>
        <w:t xml:space="preserve"> of any cost, revision of this contract or any of the respective obligations of the parties thereunder, or creation of any subcontractor </w:t>
      </w:r>
      <w:proofErr w:type="spellStart"/>
      <w:r w:rsidRPr="00C13B13">
        <w:rPr>
          <w:rFonts w:ascii="Times New Roman" w:hAnsi="Times New Roman"/>
          <w:sz w:val="20"/>
          <w:szCs w:val="20"/>
        </w:rPr>
        <w:t>privity</w:t>
      </w:r>
      <w:proofErr w:type="spellEnd"/>
      <w:r w:rsidRPr="00C13B13">
        <w:rPr>
          <w:rFonts w:ascii="Times New Roman" w:hAnsi="Times New Roman"/>
          <w:sz w:val="20"/>
          <w:szCs w:val="20"/>
        </w:rPr>
        <w:t xml:space="preserve"> of contract with the Government.</w:t>
      </w:r>
    </w:p>
    <w:p w:rsidR="00C13B13" w:rsidRPr="00C13B13" w:rsidRDefault="00C13B13" w:rsidP="00C13B13">
      <w:pPr>
        <w:rPr>
          <w:rFonts w:ascii="Times New Roman" w:hAnsi="Times New Roman"/>
          <w:b/>
          <w:sz w:val="20"/>
          <w:szCs w:val="20"/>
        </w:rPr>
      </w:pPr>
      <w:r w:rsidRPr="00C13B13">
        <w:rPr>
          <w:rFonts w:ascii="Times New Roman" w:hAnsi="Times New Roman"/>
          <w:sz w:val="20"/>
          <w:szCs w:val="20"/>
        </w:rPr>
        <w:t>The Contractor is hereby given consent to the placement of the following subcontracts, which were evaluated during negotiations:</w:t>
      </w:r>
    </w:p>
    <w:p w:rsidR="00C13B13" w:rsidRPr="00C13B13" w:rsidRDefault="00C13B13" w:rsidP="00C13B13">
      <w:pPr>
        <w:jc w:val="center"/>
        <w:rPr>
          <w:rFonts w:ascii="Times New Roman" w:hAnsi="Times New Roman"/>
          <w:b/>
          <w:sz w:val="20"/>
          <w:szCs w:val="20"/>
        </w:rPr>
      </w:pPr>
      <w:r>
        <w:rPr>
          <w:rFonts w:ascii="Times New Roman" w:hAnsi="Times New Roman"/>
          <w:b/>
          <w:sz w:val="20"/>
          <w:szCs w:val="20"/>
        </w:rPr>
        <w:t>[</w:t>
      </w:r>
      <w:r w:rsidRPr="00C13B13">
        <w:rPr>
          <w:rFonts w:ascii="Times New Roman" w:hAnsi="Times New Roman"/>
          <w:b/>
          <w:sz w:val="20"/>
          <w:szCs w:val="20"/>
        </w:rPr>
        <w:t>TBD</w:t>
      </w:r>
      <w:r>
        <w:rPr>
          <w:rFonts w:ascii="Times New Roman" w:hAnsi="Times New Roman"/>
          <w:b/>
          <w:sz w:val="20"/>
          <w:szCs w:val="20"/>
        </w:rPr>
        <w:t>]</w:t>
      </w:r>
    </w:p>
    <w:p w:rsidR="00C13B13" w:rsidRDefault="00C13B13" w:rsidP="00C13B13">
      <w:pPr>
        <w:rPr>
          <w:rFonts w:ascii="Times New Roman" w:hAnsi="Times New Roman"/>
          <w:sz w:val="20"/>
          <w:szCs w:val="20"/>
        </w:rPr>
      </w:pPr>
      <w:r w:rsidRPr="00C13B13">
        <w:rPr>
          <w:rFonts w:ascii="Times New Roman" w:hAnsi="Times New Roman"/>
          <w:sz w:val="20"/>
          <w:szCs w:val="20"/>
        </w:rPr>
        <w:t>Notwithstanding this consent, the Contractor shall ensure compliance with FAR 52.244-2.  All subcontracts and/or consultants must contain all applicable flow-down clauses contained in Part II, Section I.</w:t>
      </w:r>
    </w:p>
    <w:p w:rsidR="00C13B13" w:rsidRDefault="00C13B13" w:rsidP="00C13B13">
      <w:pPr>
        <w:rPr>
          <w:rFonts w:ascii="Times New Roman" w:hAnsi="Times New Roman"/>
          <w:sz w:val="20"/>
          <w:szCs w:val="20"/>
        </w:rPr>
      </w:pPr>
    </w:p>
    <w:p w:rsidR="00C13B13" w:rsidRPr="00C13B13" w:rsidRDefault="00C13B13" w:rsidP="00C13B13">
      <w:pPr>
        <w:rPr>
          <w:rFonts w:ascii="Times New Roman" w:hAnsi="Times New Roman"/>
          <w:b/>
          <w:sz w:val="20"/>
          <w:szCs w:val="20"/>
        </w:rPr>
      </w:pPr>
      <w:r w:rsidRPr="00815190">
        <w:rPr>
          <w:rFonts w:ascii="Times New Roman" w:hAnsi="Times New Roman"/>
          <w:b/>
          <w:sz w:val="20"/>
          <w:szCs w:val="20"/>
        </w:rPr>
        <w:t>H.2</w:t>
      </w:r>
      <w:r w:rsidR="00815190">
        <w:rPr>
          <w:rFonts w:ascii="Times New Roman" w:hAnsi="Times New Roman"/>
          <w:b/>
          <w:sz w:val="20"/>
          <w:szCs w:val="20"/>
        </w:rPr>
        <w:t>7</w:t>
      </w:r>
      <w:r>
        <w:rPr>
          <w:rFonts w:ascii="Times New Roman" w:hAnsi="Times New Roman"/>
          <w:sz w:val="20"/>
          <w:szCs w:val="20"/>
        </w:rPr>
        <w:tab/>
      </w:r>
      <w:r w:rsidRPr="00C13B13">
        <w:rPr>
          <w:rFonts w:ascii="Times New Roman" w:hAnsi="Times New Roman"/>
          <w:b/>
          <w:sz w:val="20"/>
          <w:szCs w:val="20"/>
        </w:rPr>
        <w:t xml:space="preserve">KEY PERSONNEL (JULY 2011) </w:t>
      </w:r>
    </w:p>
    <w:p w:rsidR="00C13B13" w:rsidRPr="006802A8" w:rsidRDefault="00C13B13" w:rsidP="00C13B13">
      <w:pPr>
        <w:pStyle w:val="ClauseText9"/>
        <w:numPr>
          <w:ilvl w:val="1"/>
          <w:numId w:val="7"/>
        </w:numPr>
      </w:pPr>
      <w:r w:rsidRPr="006802A8">
        <w:t>Introduction.</w:t>
      </w:r>
    </w:p>
    <w:p w:rsidR="00C13B13" w:rsidRPr="006802A8" w:rsidRDefault="00C13B13" w:rsidP="00C13B13">
      <w:pPr>
        <w:pStyle w:val="ClauseText9"/>
      </w:pPr>
    </w:p>
    <w:p w:rsidR="00C13B13" w:rsidRPr="00C13B13" w:rsidRDefault="00C13B13" w:rsidP="00C13B13">
      <w:pPr>
        <w:pStyle w:val="ClauseText9"/>
      </w:pPr>
      <w:r w:rsidRPr="006802A8">
        <w:t xml:space="preserve">Key Personnel are considered essential to the success of all work being performed under this contract. This Clause </w:t>
      </w:r>
      <w:r w:rsidRPr="00C13B13">
        <w:t>provides specific requirements, in addition to the requirements of the clause in Section I entitled, "DEAR 952.215-70 Key Personnel," for the Key Personnel Team, requirements for changes to Key Personnel, price reductions to the contract for changes to Key Personnel, and identification of all Key Personnel for this Contract.</w:t>
      </w:r>
    </w:p>
    <w:p w:rsidR="00C13B13" w:rsidRPr="00C13B13" w:rsidRDefault="00C13B13" w:rsidP="00C13B13">
      <w:pPr>
        <w:pStyle w:val="ClauseText9"/>
      </w:pPr>
    </w:p>
    <w:p w:rsidR="00C13B13" w:rsidRPr="00C13B13" w:rsidRDefault="00C13B13" w:rsidP="00C13B13">
      <w:pPr>
        <w:pStyle w:val="ClauseText9"/>
        <w:numPr>
          <w:ilvl w:val="1"/>
          <w:numId w:val="7"/>
        </w:numPr>
      </w:pPr>
      <w:r w:rsidRPr="00C13B13">
        <w:t>Key Personnel Team Requirements.</w:t>
      </w:r>
    </w:p>
    <w:p w:rsidR="00C13B13" w:rsidRPr="00C13B13" w:rsidRDefault="00C13B13" w:rsidP="00C13B13">
      <w:pPr>
        <w:pStyle w:val="ClauseText9"/>
      </w:pPr>
    </w:p>
    <w:p w:rsidR="00C13B13" w:rsidRPr="00C13B13" w:rsidRDefault="00C13B13" w:rsidP="00C13B13">
      <w:pPr>
        <w:pStyle w:val="ClauseText9"/>
      </w:pPr>
      <w:r w:rsidRPr="00C13B13">
        <w:t>The Contracting Officer and designated Contracting Officer's Representative(s) shall have direct access to the Key Personnel.  All Key Personnel shall be permanently assigned to the position. In addition to the definition contained in the Section I Clause entitled, "DEAR 952.215-70, Key Personnel," Key Person(s) are considered managerial personnel.</w:t>
      </w:r>
    </w:p>
    <w:p w:rsidR="00C13B13" w:rsidRPr="00C13B13" w:rsidRDefault="00C13B13" w:rsidP="00C13B13">
      <w:pPr>
        <w:pStyle w:val="ClauseText9"/>
      </w:pPr>
    </w:p>
    <w:p w:rsidR="00C13B13" w:rsidRPr="00C13B13" w:rsidRDefault="00C13B13" w:rsidP="00C13B13">
      <w:pPr>
        <w:pStyle w:val="ClauseText9"/>
        <w:numPr>
          <w:ilvl w:val="1"/>
          <w:numId w:val="7"/>
        </w:numPr>
      </w:pPr>
      <w:r w:rsidRPr="00C13B13">
        <w:t>Definitions.</w:t>
      </w:r>
    </w:p>
    <w:p w:rsidR="00C13B13" w:rsidRPr="00C13B13" w:rsidRDefault="00C13B13" w:rsidP="00C13B13">
      <w:pPr>
        <w:pStyle w:val="ClauseText9"/>
      </w:pPr>
    </w:p>
    <w:p w:rsidR="00C13B13" w:rsidRPr="00C13B13" w:rsidRDefault="00C13B13" w:rsidP="00C13B13">
      <w:pPr>
        <w:pStyle w:val="ClauseText9"/>
      </w:pPr>
      <w:r w:rsidRPr="00C13B13">
        <w:lastRenderedPageBreak/>
        <w:t>For the purposes of this Clause, Changes to Key Personnel is defined as: (</w:t>
      </w:r>
      <w:proofErr w:type="spellStart"/>
      <w:r w:rsidRPr="00C13B13">
        <w:t>i</w:t>
      </w:r>
      <w:proofErr w:type="spellEnd"/>
      <w:r w:rsidRPr="00C13B13">
        <w:t>) any change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C13B13" w:rsidRPr="00C13B13" w:rsidRDefault="00C13B13" w:rsidP="00C13B13">
      <w:pPr>
        <w:pStyle w:val="ClauseText9"/>
      </w:pPr>
    </w:p>
    <w:p w:rsidR="00C13B13" w:rsidRPr="00C13B13" w:rsidRDefault="00C13B13" w:rsidP="00C13B13">
      <w:pPr>
        <w:pStyle w:val="ClauseText9"/>
        <w:numPr>
          <w:ilvl w:val="1"/>
          <w:numId w:val="7"/>
        </w:numPr>
      </w:pPr>
      <w:r w:rsidRPr="00C13B13">
        <w:t>Contract Price Reductions for Changes to Key Personnel.</w:t>
      </w:r>
    </w:p>
    <w:p w:rsidR="00C13B13" w:rsidRPr="00C13B13" w:rsidRDefault="00C13B13" w:rsidP="00C13B13">
      <w:pPr>
        <w:pStyle w:val="ClauseText9"/>
      </w:pPr>
    </w:p>
    <w:p w:rsidR="00C13B13" w:rsidRPr="00C13B13" w:rsidRDefault="00C13B13" w:rsidP="00C13B13">
      <w:pPr>
        <w:pStyle w:val="ClauseText9"/>
        <w:numPr>
          <w:ilvl w:val="2"/>
          <w:numId w:val="8"/>
        </w:numPr>
      </w:pPr>
      <w:r w:rsidRPr="00C13B13">
        <w:t>Notwithstanding approval by the Contracting Officer, any time the Program Manager (the initial Program Manager or any substitution approved by the Contracting Officer) is changed for any reason within two (2) years of being placed in the position, a contract price reduction of $50,000 may be deducted from the next available invoice.  This contract price reduction may be assessed for each and every occurrence of a change.</w:t>
      </w:r>
    </w:p>
    <w:p w:rsidR="00C13B13" w:rsidRPr="00C13B13" w:rsidRDefault="00C13B13" w:rsidP="00C13B13">
      <w:pPr>
        <w:pStyle w:val="ClauseText9"/>
      </w:pPr>
    </w:p>
    <w:p w:rsidR="00C13B13" w:rsidRPr="00C13B13" w:rsidRDefault="00C13B13" w:rsidP="00C13B13">
      <w:pPr>
        <w:pStyle w:val="ClauseText9"/>
        <w:numPr>
          <w:ilvl w:val="2"/>
          <w:numId w:val="8"/>
        </w:numPr>
      </w:pPr>
      <w:r w:rsidRPr="00C13B13">
        <w:t>Notwithstanding approval by the Contracting Officer, any time a Key Person other than the Program Manager (any initial Key Person or any substitution approved by the Contracting Officer) is changed for any reason within two (2) years of being placed in the position, a contract price reduction of $25,000 may be deducted from the next available invoice.  This contract price reduction may be assessed for each and every occurrence of a change.</w:t>
      </w:r>
    </w:p>
    <w:p w:rsidR="00C13B13" w:rsidRPr="00C13B13" w:rsidRDefault="00C13B13" w:rsidP="00C13B13">
      <w:pPr>
        <w:pStyle w:val="ClauseText9"/>
      </w:pPr>
    </w:p>
    <w:p w:rsidR="00C13B13" w:rsidRPr="006802A8" w:rsidRDefault="00C13B13" w:rsidP="00C13B13">
      <w:pPr>
        <w:pStyle w:val="ClauseText9"/>
        <w:numPr>
          <w:ilvl w:val="2"/>
          <w:numId w:val="8"/>
        </w:numPr>
      </w:pPr>
      <w:r w:rsidRPr="00C13B13">
        <w:t>The Contractor may request in writing that the Contracting Officer consider waiving all or part of an identified contract price reduction.  Such written request shall include the factual basis for the request.  The Contracting Officer shall have the unilateral discretion to make the determination to waive all or part of the price reduction</w:t>
      </w:r>
      <w:r w:rsidRPr="006802A8">
        <w:t>.</w:t>
      </w:r>
    </w:p>
    <w:p w:rsidR="00C13B13" w:rsidRPr="006802A8" w:rsidRDefault="00C13B13" w:rsidP="00C13B13">
      <w:pPr>
        <w:pStyle w:val="ClauseText9"/>
      </w:pPr>
    </w:p>
    <w:p w:rsidR="00C13B13" w:rsidRPr="006802A8" w:rsidRDefault="00C13B13" w:rsidP="00C13B13">
      <w:pPr>
        <w:pStyle w:val="ClauseText9"/>
        <w:numPr>
          <w:ilvl w:val="1"/>
          <w:numId w:val="7"/>
        </w:numPr>
      </w:pPr>
      <w:r w:rsidRPr="006802A8">
        <w:t>Key Personnel for this Contract.</w:t>
      </w:r>
    </w:p>
    <w:p w:rsidR="00C13B13" w:rsidRPr="006802A8" w:rsidRDefault="00C13B13" w:rsidP="00C13B13">
      <w:pPr>
        <w:pStyle w:val="ClauseText9"/>
      </w:pPr>
    </w:p>
    <w:p w:rsidR="00C13B13" w:rsidRPr="006802A8" w:rsidRDefault="00C13B13" w:rsidP="00C13B13">
      <w:pPr>
        <w:pStyle w:val="ClauseText9"/>
      </w:pPr>
      <w:r w:rsidRPr="006802A8">
        <w:t>The Key Personnel for this contract are identified below.  This list will be amended during the course of the contract to change Key Personnel as approved by the Contracting Officer</w:t>
      </w:r>
      <w:r>
        <w:t>.</w:t>
      </w:r>
    </w:p>
    <w:p w:rsidR="00C13B13" w:rsidRPr="006802A8" w:rsidRDefault="00C13B13" w:rsidP="00C13B13">
      <w:pPr>
        <w:pStyle w:val="ClauseText9"/>
      </w:pPr>
    </w:p>
    <w:p w:rsidR="00C13B13" w:rsidRPr="006802A8" w:rsidRDefault="00C13B13" w:rsidP="00C13B13">
      <w:pPr>
        <w:pStyle w:val="ClauseText9"/>
      </w:pPr>
      <w:r w:rsidRPr="006802A8">
        <w:t>NAME</w:t>
      </w:r>
      <w:r>
        <w:t>:</w:t>
      </w:r>
      <w:r w:rsidRPr="006802A8">
        <w:tab/>
        <w:t>[</w:t>
      </w:r>
      <w:r w:rsidRPr="00C13B13">
        <w:rPr>
          <w:b/>
        </w:rPr>
        <w:t>TBD</w:t>
      </w:r>
      <w:r w:rsidRPr="006802A8">
        <w:t>]</w:t>
      </w:r>
      <w:r w:rsidRPr="006802A8">
        <w:tab/>
      </w:r>
      <w:r w:rsidRPr="006802A8">
        <w:tab/>
      </w:r>
      <w:r w:rsidRPr="006802A8">
        <w:tab/>
      </w:r>
      <w:r w:rsidRPr="006802A8">
        <w:tab/>
      </w:r>
    </w:p>
    <w:p w:rsidR="00C13B13" w:rsidRDefault="00C13B13" w:rsidP="00C13B13">
      <w:pPr>
        <w:pStyle w:val="ClauseText9"/>
      </w:pPr>
      <w:r w:rsidRPr="006802A8">
        <w:t>POSITION/TITLE</w:t>
      </w:r>
      <w:r>
        <w:t>:</w:t>
      </w:r>
      <w:r w:rsidRPr="006802A8">
        <w:t xml:space="preserve"> </w:t>
      </w:r>
      <w:r>
        <w:t>Program Manager</w:t>
      </w:r>
    </w:p>
    <w:p w:rsidR="00C13B13" w:rsidRDefault="00C13B13" w:rsidP="00C13B13"/>
    <w:p w:rsidR="00C13B13" w:rsidRDefault="00C13B13" w:rsidP="00C13B13">
      <w:pPr>
        <w:pStyle w:val="ClauseText9"/>
      </w:pPr>
      <w:r>
        <w:t>NAME: [</w:t>
      </w:r>
      <w:r w:rsidRPr="00C13B13">
        <w:rPr>
          <w:b/>
        </w:rPr>
        <w:t>TBD</w:t>
      </w:r>
      <w:r>
        <w:t>]</w:t>
      </w:r>
    </w:p>
    <w:p w:rsidR="00C13B13" w:rsidRDefault="00C13B13" w:rsidP="00C13B13">
      <w:pPr>
        <w:pStyle w:val="ClauseText9"/>
      </w:pPr>
      <w:r>
        <w:t>POSITION/TITLE: Business Manager</w:t>
      </w:r>
    </w:p>
    <w:p w:rsidR="00C13B13" w:rsidRDefault="00C13B13" w:rsidP="00C13B13"/>
    <w:p w:rsidR="00C13B13" w:rsidRDefault="00C13B13" w:rsidP="00C13B13">
      <w:pPr>
        <w:pStyle w:val="ClauseText9"/>
      </w:pPr>
      <w:r>
        <w:t>NAME: [</w:t>
      </w:r>
      <w:r w:rsidRPr="00C13B13">
        <w:rPr>
          <w:b/>
        </w:rPr>
        <w:t>TBD</w:t>
      </w:r>
      <w:r>
        <w:t>]</w:t>
      </w:r>
    </w:p>
    <w:p w:rsidR="00C13B13" w:rsidRDefault="00C13B13" w:rsidP="00C13B13">
      <w:pPr>
        <w:pStyle w:val="ClauseText9"/>
      </w:pPr>
      <w:r>
        <w:t>POSITION/TITLE: [</w:t>
      </w:r>
      <w:r w:rsidRPr="00C13B13">
        <w:rPr>
          <w:b/>
        </w:rPr>
        <w:t>TBD</w:t>
      </w:r>
      <w:r>
        <w:t>]</w:t>
      </w:r>
    </w:p>
    <w:p w:rsidR="00C13B13" w:rsidRDefault="00C13B13" w:rsidP="00C13B13"/>
    <w:p w:rsidR="00C13B13" w:rsidRPr="00317F51" w:rsidRDefault="00C13B13" w:rsidP="00C13B13">
      <w:pPr>
        <w:pStyle w:val="ClauseText9"/>
      </w:pPr>
      <w:r w:rsidRPr="00C13B13">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817F7E" w:rsidRPr="00DA3728" w:rsidRDefault="00817F7E" w:rsidP="00817F7E">
      <w:pPr>
        <w:widowControl w:val="0"/>
        <w:autoSpaceDE w:val="0"/>
        <w:autoSpaceDN w:val="0"/>
        <w:adjustRightInd w:val="0"/>
        <w:spacing w:after="0" w:line="226" w:lineRule="exact"/>
        <w:outlineLvl w:val="1"/>
        <w:rPr>
          <w:rFonts w:ascii="Times New Roman" w:eastAsia="Times New Roman" w:hAnsi="Times New Roman"/>
          <w:b/>
          <w:bCs/>
          <w:sz w:val="20"/>
          <w:szCs w:val="20"/>
          <w:highlight w:val="yellow"/>
        </w:rPr>
      </w:pPr>
      <w:bookmarkStart w:id="1" w:name="_Toc385852623"/>
    </w:p>
    <w:bookmarkEnd w:id="1"/>
    <w:p w:rsidR="00E11FA4" w:rsidRPr="00DA3728" w:rsidRDefault="00E11FA4" w:rsidP="00322387">
      <w:pPr>
        <w:pStyle w:val="NoSpacing"/>
        <w:rPr>
          <w:rFonts w:ascii="Times New Roman" w:hAnsi="Times New Roman" w:cs="Times New Roman"/>
          <w:sz w:val="20"/>
          <w:szCs w:val="20"/>
          <w:highlight w:val="yellow"/>
        </w:rPr>
      </w:pPr>
    </w:p>
    <w:p w:rsidR="00EC7BA0" w:rsidRPr="00C13B13" w:rsidRDefault="00EC7BA0" w:rsidP="00EC7BA0">
      <w:pPr>
        <w:widowControl w:val="0"/>
        <w:autoSpaceDE w:val="0"/>
        <w:autoSpaceDN w:val="0"/>
        <w:adjustRightInd w:val="0"/>
        <w:spacing w:after="0" w:line="240" w:lineRule="auto"/>
        <w:outlineLvl w:val="1"/>
        <w:rPr>
          <w:rFonts w:ascii="Times New Roman" w:eastAsia="Times New Roman" w:hAnsi="Times New Roman"/>
          <w:b/>
          <w:sz w:val="20"/>
          <w:szCs w:val="20"/>
        </w:rPr>
      </w:pPr>
      <w:bookmarkStart w:id="2" w:name="_Toc385852627"/>
      <w:bookmarkStart w:id="3" w:name="_Toc363826229"/>
      <w:r w:rsidRPr="00C13B13">
        <w:rPr>
          <w:rFonts w:ascii="Times New Roman" w:eastAsia="Times New Roman" w:hAnsi="Times New Roman"/>
          <w:b/>
          <w:sz w:val="20"/>
          <w:szCs w:val="20"/>
        </w:rPr>
        <w:t>H.</w:t>
      </w:r>
      <w:r w:rsidR="00C13B13" w:rsidRPr="00C13B13">
        <w:rPr>
          <w:rFonts w:ascii="Times New Roman" w:eastAsia="Times New Roman" w:hAnsi="Times New Roman"/>
          <w:b/>
          <w:sz w:val="20"/>
          <w:szCs w:val="20"/>
        </w:rPr>
        <w:t>29</w:t>
      </w:r>
      <w:r w:rsidRPr="00C13B13">
        <w:rPr>
          <w:rFonts w:ascii="Times New Roman" w:eastAsia="Times New Roman" w:hAnsi="Times New Roman"/>
          <w:b/>
          <w:sz w:val="20"/>
          <w:szCs w:val="20"/>
        </w:rPr>
        <w:tab/>
        <w:t>LIMITATION OF INDIRECT COST</w:t>
      </w:r>
      <w:bookmarkEnd w:id="2"/>
      <w:r w:rsidRPr="00C13B13">
        <w:rPr>
          <w:rFonts w:ascii="Times New Roman" w:eastAsia="Times New Roman" w:hAnsi="Times New Roman"/>
          <w:b/>
          <w:sz w:val="20"/>
          <w:szCs w:val="20"/>
        </w:rPr>
        <w:t xml:space="preserve"> </w:t>
      </w:r>
      <w:bookmarkEnd w:id="3"/>
    </w:p>
    <w:p w:rsidR="00EC7BA0" w:rsidRPr="00C13B13" w:rsidRDefault="00EC7BA0" w:rsidP="00EC7BA0">
      <w:pPr>
        <w:widowControl w:val="0"/>
        <w:autoSpaceDE w:val="0"/>
        <w:autoSpaceDN w:val="0"/>
        <w:adjustRightInd w:val="0"/>
        <w:spacing w:after="0" w:line="240" w:lineRule="auto"/>
        <w:rPr>
          <w:rFonts w:ascii="Times New Roman" w:eastAsia="Times New Roman" w:hAnsi="Times New Roman"/>
          <w:b/>
          <w:bCs/>
          <w:sz w:val="20"/>
          <w:szCs w:val="20"/>
        </w:rPr>
      </w:pP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percentage of overall rate basis.  All indirect costs </w:t>
      </w:r>
      <w:r w:rsidRPr="00C13B13">
        <w:rPr>
          <w:rFonts w:ascii="Times New Roman" w:eastAsia="Times New Roman" w:hAnsi="Times New Roman"/>
          <w:bCs/>
          <w:sz w:val="20"/>
          <w:szCs w:val="20"/>
        </w:rPr>
        <w:lastRenderedPageBreak/>
        <w:t>in excess of said limit(s) shall be borne by the Contractor.</w:t>
      </w: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p>
    <w:tbl>
      <w:tblPr>
        <w:tblW w:w="9576" w:type="dxa"/>
        <w:tblInd w:w="-208" w:type="dxa"/>
        <w:tblBorders>
          <w:insideH w:val="single" w:sz="4" w:space="0" w:color="auto"/>
          <w:insideV w:val="single" w:sz="4" w:space="0" w:color="auto"/>
        </w:tblBorders>
        <w:tblLook w:val="01E0" w:firstRow="1" w:lastRow="1" w:firstColumn="1" w:lastColumn="1" w:noHBand="0" w:noVBand="0"/>
      </w:tblPr>
      <w:tblGrid>
        <w:gridCol w:w="1319"/>
        <w:gridCol w:w="1666"/>
        <w:gridCol w:w="17"/>
        <w:gridCol w:w="1060"/>
        <w:gridCol w:w="1022"/>
        <w:gridCol w:w="1022"/>
        <w:gridCol w:w="985"/>
        <w:gridCol w:w="963"/>
        <w:gridCol w:w="761"/>
        <w:gridCol w:w="761"/>
      </w:tblGrid>
      <w:tr w:rsidR="00C13B13" w:rsidRPr="00C13B13" w:rsidTr="00B6477C">
        <w:trPr>
          <w:trHeight w:val="432"/>
        </w:trPr>
        <w:tc>
          <w:tcPr>
            <w:tcW w:w="2985" w:type="dxa"/>
            <w:gridSpan w:val="2"/>
            <w:tcBorders>
              <w:top w:val="nil"/>
              <w:left w:val="nil"/>
              <w:bottom w:val="single" w:sz="4" w:space="0" w:color="auto"/>
            </w:tcBorders>
            <w:shd w:val="clear" w:color="auto" w:fill="auto"/>
            <w:vAlign w:val="bottom"/>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Cs/>
                <w:sz w:val="20"/>
                <w:szCs w:val="20"/>
              </w:rPr>
              <w:t>Percentage of Overall Rate</w:t>
            </w:r>
            <w:r w:rsidRPr="00C13B13">
              <w:rPr>
                <w:rFonts w:ascii="Times New Roman" w:eastAsia="Times New Roman" w:hAnsi="Times New Roman"/>
                <w:b/>
                <w:bCs/>
                <w:sz w:val="20"/>
                <w:szCs w:val="20"/>
              </w:rPr>
              <w:t xml:space="preserve">                             </w:t>
            </w:r>
          </w:p>
        </w:tc>
        <w:tc>
          <w:tcPr>
            <w:tcW w:w="6591" w:type="dxa"/>
            <w:gridSpan w:val="8"/>
            <w:tcBorders>
              <w:top w:val="single" w:sz="4" w:space="0" w:color="auto"/>
              <w:bottom w:val="single" w:sz="4" w:space="0" w:color="auto"/>
              <w:right w:val="single" w:sz="4" w:space="0" w:color="auto"/>
            </w:tcBorders>
            <w:vAlign w:val="bottom"/>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Indirect Cost Ceiling Rate(s) per Contractor's Fiscal Year (1)</w:t>
            </w:r>
          </w:p>
        </w:tc>
      </w:tr>
      <w:tr w:rsidR="00C13B13" w:rsidRPr="00C13B13" w:rsidTr="00B6477C">
        <w:trPr>
          <w:trHeight w:val="432"/>
        </w:trPr>
        <w:tc>
          <w:tcPr>
            <w:tcW w:w="1319" w:type="dxa"/>
            <w:tcBorders>
              <w:top w:val="single" w:sz="4" w:space="0" w:color="auto"/>
              <w:left w:val="single" w:sz="4" w:space="0" w:color="auto"/>
              <w:bottom w:val="single" w:sz="4" w:space="0" w:color="auto"/>
            </w:tcBorders>
            <w:shd w:val="clear" w:color="auto" w:fill="auto"/>
            <w:vAlign w:val="bottom"/>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Indirect Cost</w:t>
            </w:r>
          </w:p>
        </w:tc>
        <w:tc>
          <w:tcPr>
            <w:tcW w:w="1683" w:type="dxa"/>
            <w:gridSpan w:val="2"/>
            <w:tcBorders>
              <w:top w:val="single" w:sz="4" w:space="0" w:color="auto"/>
              <w:bottom w:val="single" w:sz="4" w:space="0" w:color="auto"/>
            </w:tcBorders>
            <w:shd w:val="clear" w:color="auto" w:fill="auto"/>
            <w:vAlign w:val="bottom"/>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Base of Application</w:t>
            </w:r>
          </w:p>
        </w:tc>
        <w:tc>
          <w:tcPr>
            <w:tcW w:w="1060" w:type="dxa"/>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FY1</w:t>
            </w:r>
            <w:r w:rsidR="00815190">
              <w:rPr>
                <w:rFonts w:ascii="Times New Roman" w:eastAsia="Times New Roman" w:hAnsi="Times New Roman"/>
                <w:b/>
                <w:bCs/>
                <w:sz w:val="20"/>
                <w:szCs w:val="20"/>
              </w:rPr>
              <w:t>6</w:t>
            </w:r>
          </w:p>
        </w:tc>
        <w:tc>
          <w:tcPr>
            <w:tcW w:w="1022" w:type="dxa"/>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FY1</w:t>
            </w:r>
            <w:r w:rsidR="00815190">
              <w:rPr>
                <w:rFonts w:ascii="Times New Roman" w:eastAsia="Times New Roman" w:hAnsi="Times New Roman"/>
                <w:b/>
                <w:bCs/>
                <w:sz w:val="20"/>
                <w:szCs w:val="20"/>
              </w:rPr>
              <w:t>7</w:t>
            </w:r>
          </w:p>
        </w:tc>
        <w:tc>
          <w:tcPr>
            <w:tcW w:w="1022" w:type="dxa"/>
            <w:tcBorders>
              <w:top w:val="single" w:sz="4" w:space="0" w:color="auto"/>
              <w:bottom w:val="single" w:sz="4" w:space="0" w:color="auto"/>
              <w:right w:val="single" w:sz="4" w:space="0" w:color="auto"/>
            </w:tcBorders>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FY1</w:t>
            </w:r>
            <w:r w:rsidR="00815190">
              <w:rPr>
                <w:rFonts w:ascii="Times New Roman" w:eastAsia="Times New Roman" w:hAnsi="Times New Roman"/>
                <w:b/>
                <w:bCs/>
                <w:sz w:val="20"/>
                <w:szCs w:val="20"/>
              </w:rPr>
              <w:t>8</w:t>
            </w:r>
          </w:p>
        </w:tc>
        <w:tc>
          <w:tcPr>
            <w:tcW w:w="985" w:type="dxa"/>
            <w:tcBorders>
              <w:top w:val="single" w:sz="4" w:space="0" w:color="auto"/>
              <w:bottom w:val="single" w:sz="4" w:space="0" w:color="auto"/>
              <w:right w:val="single" w:sz="4" w:space="0" w:color="auto"/>
            </w:tcBorders>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FY1</w:t>
            </w:r>
            <w:r w:rsidR="00815190">
              <w:rPr>
                <w:rFonts w:ascii="Times New Roman" w:eastAsia="Times New Roman" w:hAnsi="Times New Roman"/>
                <w:b/>
                <w:bCs/>
                <w:sz w:val="20"/>
                <w:szCs w:val="20"/>
              </w:rPr>
              <w:t>9</w:t>
            </w:r>
          </w:p>
        </w:tc>
        <w:tc>
          <w:tcPr>
            <w:tcW w:w="963" w:type="dxa"/>
            <w:tcBorders>
              <w:top w:val="single" w:sz="4" w:space="0" w:color="auto"/>
              <w:right w:val="single" w:sz="4" w:space="0" w:color="auto"/>
            </w:tcBorders>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w:t>
            </w:r>
            <w:r w:rsidR="00815190">
              <w:rPr>
                <w:rFonts w:ascii="Times New Roman" w:eastAsia="Times New Roman" w:hAnsi="Times New Roman"/>
                <w:b/>
                <w:bCs/>
                <w:sz w:val="20"/>
                <w:szCs w:val="20"/>
              </w:rPr>
              <w:t>20</w:t>
            </w:r>
          </w:p>
        </w:tc>
        <w:tc>
          <w:tcPr>
            <w:tcW w:w="761" w:type="dxa"/>
            <w:tcBorders>
              <w:top w:val="single" w:sz="4" w:space="0" w:color="auto"/>
              <w:right w:val="single" w:sz="4" w:space="0" w:color="auto"/>
            </w:tcBorders>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w:t>
            </w:r>
            <w:r w:rsidR="00815190">
              <w:rPr>
                <w:rFonts w:ascii="Times New Roman" w:eastAsia="Times New Roman" w:hAnsi="Times New Roman"/>
                <w:b/>
                <w:bCs/>
                <w:sz w:val="20"/>
                <w:szCs w:val="20"/>
              </w:rPr>
              <w:t>21</w:t>
            </w:r>
          </w:p>
        </w:tc>
        <w:tc>
          <w:tcPr>
            <w:tcW w:w="761" w:type="dxa"/>
            <w:tcBorders>
              <w:top w:val="single" w:sz="4" w:space="0" w:color="auto"/>
              <w:right w:val="single" w:sz="4" w:space="0" w:color="auto"/>
            </w:tcBorders>
            <w:vAlign w:val="bottom"/>
          </w:tcPr>
          <w:p w:rsidR="00C13B13" w:rsidRPr="00C13B13" w:rsidRDefault="00C13B13" w:rsidP="00815190">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FY2</w:t>
            </w:r>
            <w:r w:rsidR="00815190">
              <w:rPr>
                <w:rFonts w:ascii="Times New Roman" w:eastAsia="Times New Roman" w:hAnsi="Times New Roman"/>
                <w:b/>
                <w:bCs/>
                <w:sz w:val="20"/>
                <w:szCs w:val="20"/>
              </w:rPr>
              <w:t>2</w:t>
            </w:r>
          </w:p>
        </w:tc>
      </w:tr>
      <w:tr w:rsidR="00C13B13" w:rsidRPr="00C13B13" w:rsidTr="00B6477C">
        <w:trPr>
          <w:trHeight w:val="432"/>
        </w:trPr>
        <w:tc>
          <w:tcPr>
            <w:tcW w:w="1319" w:type="dxa"/>
            <w:tcBorders>
              <w:top w:val="single" w:sz="4" w:space="0" w:color="auto"/>
              <w:lef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NETL Site Specific On-Site Overhead</w:t>
            </w:r>
          </w:p>
        </w:tc>
        <w:tc>
          <w:tcPr>
            <w:tcW w:w="1683" w:type="dxa"/>
            <w:gridSpan w:val="2"/>
            <w:tcBorders>
              <w:top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60" w:type="dxa"/>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85"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63"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761"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761"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r>
      <w:tr w:rsidR="00C13B13" w:rsidRPr="00C13B13" w:rsidTr="00B6477C">
        <w:trPr>
          <w:trHeight w:val="432"/>
        </w:trPr>
        <w:tc>
          <w:tcPr>
            <w:tcW w:w="1319" w:type="dxa"/>
            <w:tcBorders>
              <w:left w:val="single" w:sz="4" w:space="0" w:color="auto"/>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Off-Site Overhead (Contractor’s site)</w:t>
            </w:r>
          </w:p>
        </w:tc>
        <w:tc>
          <w:tcPr>
            <w:tcW w:w="1683" w:type="dxa"/>
            <w:gridSpan w:val="2"/>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60" w:type="dxa"/>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85"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63"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761"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[TBD]</w:t>
            </w:r>
          </w:p>
        </w:tc>
        <w:tc>
          <w:tcPr>
            <w:tcW w:w="761" w:type="dxa"/>
            <w:tcBorders>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
                <w:bCs/>
                <w:sz w:val="20"/>
                <w:szCs w:val="20"/>
              </w:rPr>
            </w:pPr>
            <w:r w:rsidRPr="00C13B13">
              <w:rPr>
                <w:rFonts w:ascii="Times New Roman" w:eastAsia="Times New Roman" w:hAnsi="Times New Roman"/>
                <w:b/>
                <w:bCs/>
                <w:sz w:val="20"/>
                <w:szCs w:val="20"/>
              </w:rPr>
              <w:t>[TBD]</w:t>
            </w:r>
          </w:p>
        </w:tc>
      </w:tr>
      <w:tr w:rsidR="00C13B13" w:rsidRPr="00C13B13" w:rsidTr="00B6477C">
        <w:trPr>
          <w:trHeight w:val="432"/>
        </w:trPr>
        <w:tc>
          <w:tcPr>
            <w:tcW w:w="1319" w:type="dxa"/>
            <w:tcBorders>
              <w:left w:val="single" w:sz="4" w:space="0" w:color="auto"/>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G&amp;A</w:t>
            </w:r>
          </w:p>
        </w:tc>
        <w:tc>
          <w:tcPr>
            <w:tcW w:w="1683" w:type="dxa"/>
            <w:gridSpan w:val="2"/>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60" w:type="dxa"/>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tcBorders>
              <w:bottom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1022"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85" w:type="dxa"/>
            <w:tcBorders>
              <w:top w:val="single" w:sz="4" w:space="0" w:color="auto"/>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963" w:type="dxa"/>
            <w:tcBorders>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761" w:type="dxa"/>
            <w:tcBorders>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c>
          <w:tcPr>
            <w:tcW w:w="761" w:type="dxa"/>
            <w:tcBorders>
              <w:bottom w:val="single" w:sz="4" w:space="0" w:color="auto"/>
              <w:right w:val="single" w:sz="4" w:space="0" w:color="auto"/>
            </w:tcBorders>
            <w:vAlign w:val="center"/>
          </w:tcPr>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
                <w:bCs/>
                <w:sz w:val="20"/>
                <w:szCs w:val="20"/>
              </w:rPr>
              <w:t>[TBD]</w:t>
            </w:r>
          </w:p>
        </w:tc>
      </w:tr>
    </w:tbl>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i/>
          <w:sz w:val="20"/>
          <w:szCs w:val="20"/>
        </w:rPr>
        <w:t xml:space="preserve">(1) For Contractor's FY beginning </w:t>
      </w:r>
      <w:r w:rsidRPr="00C13B13">
        <w:rPr>
          <w:rFonts w:ascii="Times New Roman" w:eastAsia="Times New Roman" w:hAnsi="Times New Roman"/>
          <w:b/>
          <w:bCs/>
          <w:sz w:val="20"/>
          <w:szCs w:val="20"/>
        </w:rPr>
        <w:t xml:space="preserve">[TBD] </w:t>
      </w:r>
      <w:r w:rsidRPr="00C13B13">
        <w:rPr>
          <w:rFonts w:ascii="Times New Roman" w:eastAsia="Times New Roman" w:hAnsi="Times New Roman"/>
          <w:bCs/>
          <w:i/>
          <w:sz w:val="20"/>
          <w:szCs w:val="20"/>
        </w:rPr>
        <w:t xml:space="preserve">and ending </w:t>
      </w:r>
      <w:r w:rsidRPr="00C13B13">
        <w:rPr>
          <w:rFonts w:ascii="Times New Roman" w:eastAsia="Times New Roman" w:hAnsi="Times New Roman"/>
          <w:b/>
          <w:bCs/>
          <w:sz w:val="20"/>
          <w:szCs w:val="20"/>
        </w:rPr>
        <w:t>[TBD]</w:t>
      </w: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p>
    <w:p w:rsidR="00C13B13" w:rsidRPr="00C13B13" w:rsidRDefault="00C13B13" w:rsidP="00C13B13">
      <w:pPr>
        <w:widowControl w:val="0"/>
        <w:autoSpaceDE w:val="0"/>
        <w:autoSpaceDN w:val="0"/>
        <w:adjustRightInd w:val="0"/>
        <w:spacing w:after="0" w:line="240" w:lineRule="auto"/>
        <w:rPr>
          <w:rFonts w:ascii="Times New Roman" w:eastAsia="Times New Roman" w:hAnsi="Times New Roman"/>
          <w:bCs/>
          <w:sz w:val="20"/>
          <w:szCs w:val="20"/>
        </w:rPr>
      </w:pPr>
      <w:r w:rsidRPr="00C13B13">
        <w:rPr>
          <w:rFonts w:ascii="Times New Roman" w:eastAsia="Times New Roman" w:hAnsi="Times New Roman"/>
          <w:bCs/>
          <w:sz w:val="20"/>
          <w:szCs w:val="20"/>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rsidR="00EC7BA0" w:rsidRPr="00DA3728" w:rsidRDefault="00EC7BA0" w:rsidP="00EC7BA0">
      <w:pPr>
        <w:widowControl w:val="0"/>
        <w:autoSpaceDE w:val="0"/>
        <w:autoSpaceDN w:val="0"/>
        <w:adjustRightInd w:val="0"/>
        <w:spacing w:after="0" w:line="240" w:lineRule="auto"/>
        <w:rPr>
          <w:rFonts w:ascii="Times New Roman" w:eastAsia="Times New Roman" w:hAnsi="Times New Roman"/>
          <w:sz w:val="20"/>
          <w:szCs w:val="20"/>
          <w:highlight w:val="yellow"/>
        </w:rPr>
      </w:pPr>
    </w:p>
    <w:p w:rsidR="00FF3F41" w:rsidRPr="00C13B13" w:rsidRDefault="00C13B13" w:rsidP="00FF3F41">
      <w:pPr>
        <w:widowControl w:val="0"/>
        <w:autoSpaceDE w:val="0"/>
        <w:autoSpaceDN w:val="0"/>
        <w:adjustRightInd w:val="0"/>
        <w:spacing w:after="0" w:line="240" w:lineRule="auto"/>
        <w:ind w:left="720" w:hanging="720"/>
        <w:outlineLvl w:val="1"/>
        <w:rPr>
          <w:rFonts w:ascii="Times New Roman" w:eastAsia="Times New Roman" w:hAnsi="Times New Roman"/>
          <w:b/>
          <w:sz w:val="20"/>
          <w:szCs w:val="20"/>
        </w:rPr>
      </w:pPr>
      <w:bookmarkStart w:id="4" w:name="_Toc363826231"/>
      <w:bookmarkStart w:id="5" w:name="_Toc385852629"/>
      <w:r>
        <w:rPr>
          <w:rFonts w:ascii="Times New Roman" w:eastAsia="Times New Roman" w:hAnsi="Times New Roman"/>
          <w:b/>
          <w:sz w:val="20"/>
          <w:szCs w:val="20"/>
        </w:rPr>
        <w:t>H.32</w:t>
      </w:r>
      <w:r w:rsidR="00FF3F41" w:rsidRPr="00C13B13">
        <w:rPr>
          <w:rFonts w:ascii="Times New Roman" w:eastAsia="Times New Roman" w:hAnsi="Times New Roman"/>
          <w:b/>
          <w:sz w:val="20"/>
          <w:szCs w:val="20"/>
        </w:rPr>
        <w:tab/>
        <w:t>INCORPORATION OF CONTRACTOR’S VALUE ADDED APPROACHES OR METHODOLOGIES AND CONTRACTOR’S RESOURCES AND COMITTMENTS</w:t>
      </w:r>
      <w:bookmarkEnd w:id="4"/>
      <w:bookmarkEnd w:id="5"/>
    </w:p>
    <w:p w:rsidR="00FF3F41" w:rsidRPr="00C13B13" w:rsidRDefault="00FF3F41" w:rsidP="00FF3F41">
      <w:pPr>
        <w:widowControl w:val="0"/>
        <w:autoSpaceDE w:val="0"/>
        <w:autoSpaceDN w:val="0"/>
        <w:adjustRightInd w:val="0"/>
        <w:spacing w:after="0" w:line="240" w:lineRule="auto"/>
        <w:rPr>
          <w:rFonts w:ascii="Times New Roman" w:eastAsia="Times New Roman" w:hAnsi="Times New Roman"/>
          <w:b/>
          <w:bCs/>
          <w:sz w:val="20"/>
          <w:szCs w:val="20"/>
        </w:rPr>
      </w:pPr>
    </w:p>
    <w:p w:rsidR="00C13B13" w:rsidRPr="00C13B13" w:rsidRDefault="00C13B13" w:rsidP="00C13B13">
      <w:pPr>
        <w:widowControl w:val="0"/>
        <w:numPr>
          <w:ilvl w:val="0"/>
          <w:numId w:val="9"/>
        </w:numPr>
        <w:autoSpaceDE w:val="0"/>
        <w:autoSpaceDN w:val="0"/>
        <w:adjustRightInd w:val="0"/>
        <w:spacing w:after="0" w:line="240" w:lineRule="auto"/>
        <w:contextualSpacing/>
        <w:rPr>
          <w:rFonts w:ascii="Times New Roman" w:eastAsia="Times New Roman" w:hAnsi="Times New Roman"/>
          <w:bCs/>
          <w:sz w:val="20"/>
          <w:szCs w:val="20"/>
        </w:rPr>
      </w:pPr>
      <w:r w:rsidRPr="00C13B13">
        <w:rPr>
          <w:rFonts w:ascii="Times New Roman" w:eastAsia="Times New Roman" w:hAnsi="Times New Roman"/>
          <w:bCs/>
          <w:sz w:val="20"/>
          <w:szCs w:val="20"/>
        </w:rPr>
        <w:t>As part of its proposal, the Contractor offered certain approaches or methodologies that are of significant benefit to NETL.  The following list of approaches or methodologies have been proposed by the Contractor and accepted by the Government:</w:t>
      </w:r>
    </w:p>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p>
    <w:tbl>
      <w:tblPr>
        <w:tblW w:w="9324" w:type="dxa"/>
        <w:tblInd w:w="115" w:type="dxa"/>
        <w:tblLayout w:type="fixed"/>
        <w:tblCellMar>
          <w:left w:w="0" w:type="dxa"/>
          <w:right w:w="0" w:type="dxa"/>
        </w:tblCellMar>
        <w:tblLook w:val="0000" w:firstRow="0" w:lastRow="0" w:firstColumn="0" w:lastColumn="0" w:noHBand="0" w:noVBand="0"/>
      </w:tblPr>
      <w:tblGrid>
        <w:gridCol w:w="1315"/>
        <w:gridCol w:w="4139"/>
        <w:gridCol w:w="3870"/>
      </w:tblGrid>
      <w:tr w:rsidR="00C13B13" w:rsidRPr="00C13B13" w:rsidTr="00B6477C">
        <w:trPr>
          <w:trHeight w:hRule="exact" w:val="315"/>
        </w:trPr>
        <w:tc>
          <w:tcPr>
            <w:tcW w:w="1315" w:type="dxa"/>
            <w:tcBorders>
              <w:top w:val="single" w:sz="16" w:space="0" w:color="3C833C"/>
              <w:left w:val="single" w:sz="4" w:space="0" w:color="000000"/>
              <w:bottom w:val="single" w:sz="24" w:space="0" w:color="000000"/>
              <w:right w:val="single" w:sz="6" w:space="0" w:color="FFFFFF"/>
            </w:tcBorders>
            <w:shd w:val="clear" w:color="auto" w:fill="3C833C"/>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
                <w:bCs/>
                <w:sz w:val="20"/>
                <w:szCs w:val="20"/>
              </w:rPr>
              <w:t>Item</w:t>
            </w:r>
          </w:p>
        </w:tc>
        <w:tc>
          <w:tcPr>
            <w:tcW w:w="4139" w:type="dxa"/>
            <w:tcBorders>
              <w:top w:val="single" w:sz="16" w:space="0" w:color="3C833C"/>
              <w:left w:val="single" w:sz="6" w:space="0" w:color="FFFFFF"/>
              <w:bottom w:val="single" w:sz="24" w:space="0" w:color="000000"/>
              <w:right w:val="single" w:sz="6" w:space="0" w:color="FFFFFF"/>
            </w:tcBorders>
            <w:shd w:val="clear" w:color="auto" w:fill="3C833C"/>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
                <w:bCs/>
                <w:sz w:val="20"/>
                <w:szCs w:val="20"/>
              </w:rPr>
              <w:t>Approach / Methodology</w:t>
            </w:r>
          </w:p>
        </w:tc>
        <w:tc>
          <w:tcPr>
            <w:tcW w:w="3870" w:type="dxa"/>
            <w:tcBorders>
              <w:top w:val="single" w:sz="16" w:space="0" w:color="3C833C"/>
              <w:left w:val="single" w:sz="6" w:space="0" w:color="FFFFFF"/>
              <w:bottom w:val="single" w:sz="16" w:space="0" w:color="3C833C"/>
              <w:right w:val="single" w:sz="4" w:space="0" w:color="000000"/>
            </w:tcBorders>
            <w:shd w:val="clear" w:color="auto" w:fill="3C833C"/>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
                <w:bCs/>
                <w:sz w:val="20"/>
                <w:szCs w:val="20"/>
              </w:rPr>
              <w:t>Benefit to NETL</w:t>
            </w:r>
          </w:p>
        </w:tc>
      </w:tr>
      <w:tr w:rsidR="00C13B13" w:rsidRPr="00C13B13" w:rsidTr="00B6477C">
        <w:trPr>
          <w:trHeight w:hRule="exact" w:val="1186"/>
        </w:trPr>
        <w:tc>
          <w:tcPr>
            <w:tcW w:w="1315" w:type="dxa"/>
            <w:tcBorders>
              <w:top w:val="single" w:sz="24" w:space="0" w:color="000000"/>
              <w:left w:val="single" w:sz="4" w:space="0" w:color="000000"/>
              <w:bottom w:val="single" w:sz="4" w:space="0" w:color="auto"/>
              <w:right w:val="single" w:sz="4" w:space="0" w:color="000000"/>
            </w:tcBorders>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p>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Cs/>
                <w:sz w:val="20"/>
                <w:szCs w:val="20"/>
              </w:rPr>
              <w:t>TBD</w:t>
            </w:r>
          </w:p>
        </w:tc>
        <w:tc>
          <w:tcPr>
            <w:tcW w:w="4139" w:type="dxa"/>
            <w:tcBorders>
              <w:top w:val="single" w:sz="24" w:space="0" w:color="000000"/>
              <w:left w:val="single" w:sz="4" w:space="0" w:color="000000"/>
              <w:bottom w:val="single" w:sz="4" w:space="0" w:color="auto"/>
              <w:right w:val="single" w:sz="4" w:space="0" w:color="000000"/>
            </w:tcBorders>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p>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Cs/>
                <w:sz w:val="20"/>
                <w:szCs w:val="20"/>
              </w:rPr>
              <w:t>TBD</w:t>
            </w:r>
          </w:p>
        </w:tc>
        <w:tc>
          <w:tcPr>
            <w:tcW w:w="3870" w:type="dxa"/>
            <w:tcBorders>
              <w:top w:val="single" w:sz="16" w:space="0" w:color="3C833C"/>
              <w:left w:val="single" w:sz="4" w:space="0" w:color="000000"/>
              <w:bottom w:val="single" w:sz="4" w:space="0" w:color="auto"/>
              <w:right w:val="single" w:sz="4" w:space="0" w:color="000000"/>
            </w:tcBorders>
          </w:tcPr>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p>
          <w:p w:rsidR="00C13B13" w:rsidRPr="00C13B13" w:rsidRDefault="00C13B13" w:rsidP="00C13B13">
            <w:pPr>
              <w:widowControl w:val="0"/>
              <w:autoSpaceDE w:val="0"/>
              <w:autoSpaceDN w:val="0"/>
              <w:adjustRightInd w:val="0"/>
              <w:spacing w:after="0" w:line="240" w:lineRule="auto"/>
              <w:ind w:left="360"/>
              <w:contextualSpacing/>
              <w:rPr>
                <w:rFonts w:ascii="Times New Roman" w:eastAsia="Times New Roman" w:hAnsi="Times New Roman"/>
                <w:bCs/>
                <w:sz w:val="20"/>
                <w:szCs w:val="20"/>
              </w:rPr>
            </w:pPr>
            <w:r w:rsidRPr="00C13B13">
              <w:rPr>
                <w:rFonts w:ascii="Times New Roman" w:eastAsia="Times New Roman" w:hAnsi="Times New Roman"/>
                <w:bCs/>
                <w:sz w:val="20"/>
                <w:szCs w:val="20"/>
              </w:rPr>
              <w:t>TBD</w:t>
            </w:r>
          </w:p>
        </w:tc>
      </w:tr>
    </w:tbl>
    <w:p w:rsidR="00DF7D96" w:rsidRPr="00DA3728" w:rsidRDefault="00DF7D96" w:rsidP="00DF7D96">
      <w:pPr>
        <w:widowControl w:val="0"/>
        <w:autoSpaceDE w:val="0"/>
        <w:autoSpaceDN w:val="0"/>
        <w:adjustRightInd w:val="0"/>
        <w:spacing w:after="0" w:line="240" w:lineRule="auto"/>
        <w:ind w:left="360"/>
        <w:contextualSpacing/>
        <w:rPr>
          <w:rFonts w:ascii="Times New Roman" w:eastAsia="Times New Roman" w:hAnsi="Times New Roman"/>
          <w:bCs/>
          <w:sz w:val="20"/>
          <w:szCs w:val="20"/>
          <w:highlight w:val="yellow"/>
        </w:rPr>
      </w:pPr>
    </w:p>
    <w:p w:rsidR="00B56286" w:rsidRDefault="00B56286" w:rsidP="00DF7D96">
      <w:pPr>
        <w:widowControl w:val="0"/>
        <w:autoSpaceDE w:val="0"/>
        <w:autoSpaceDN w:val="0"/>
        <w:adjustRightInd w:val="0"/>
        <w:spacing w:after="0" w:line="240" w:lineRule="auto"/>
        <w:rPr>
          <w:rFonts w:ascii="Times New Roman" w:eastAsia="Times New Roman" w:hAnsi="Times New Roman"/>
          <w:sz w:val="20"/>
          <w:szCs w:val="20"/>
          <w:highlight w:val="yellow"/>
        </w:rPr>
      </w:pPr>
    </w:p>
    <w:p w:rsidR="008D54A7" w:rsidRDefault="008D54A7" w:rsidP="00DF7D96">
      <w:pPr>
        <w:widowControl w:val="0"/>
        <w:autoSpaceDE w:val="0"/>
        <w:autoSpaceDN w:val="0"/>
        <w:adjustRightInd w:val="0"/>
        <w:spacing w:after="0" w:line="240" w:lineRule="auto"/>
        <w:rPr>
          <w:rFonts w:ascii="Times New Roman" w:eastAsia="Times New Roman" w:hAnsi="Times New Roman"/>
          <w:sz w:val="20"/>
          <w:szCs w:val="20"/>
        </w:rPr>
      </w:pPr>
    </w:p>
    <w:p w:rsidR="00D305F1" w:rsidRPr="00D305F1" w:rsidRDefault="00D305F1" w:rsidP="00DF7D96">
      <w:pPr>
        <w:widowControl w:val="0"/>
        <w:autoSpaceDE w:val="0"/>
        <w:autoSpaceDN w:val="0"/>
        <w:adjustRightInd w:val="0"/>
        <w:spacing w:after="0" w:line="240" w:lineRule="auto"/>
        <w:rPr>
          <w:rFonts w:ascii="Times New Roman" w:eastAsia="Times New Roman" w:hAnsi="Times New Roman"/>
          <w:sz w:val="20"/>
          <w:szCs w:val="20"/>
        </w:rPr>
      </w:pPr>
    </w:p>
    <w:p w:rsidR="008D54A7" w:rsidRPr="00D305F1" w:rsidRDefault="008D54A7" w:rsidP="00DF7D96">
      <w:pPr>
        <w:widowControl w:val="0"/>
        <w:autoSpaceDE w:val="0"/>
        <w:autoSpaceDN w:val="0"/>
        <w:adjustRightInd w:val="0"/>
        <w:spacing w:after="0" w:line="240" w:lineRule="auto"/>
        <w:rPr>
          <w:rFonts w:ascii="Times New Roman" w:eastAsia="Times New Roman" w:hAnsi="Times New Roman"/>
          <w:sz w:val="20"/>
          <w:szCs w:val="20"/>
        </w:rPr>
      </w:pPr>
    </w:p>
    <w:p w:rsidR="00D305F1" w:rsidRPr="00D305F1" w:rsidRDefault="00D305F1" w:rsidP="00D305F1">
      <w:pPr>
        <w:widowControl w:val="0"/>
        <w:autoSpaceDE w:val="0"/>
        <w:autoSpaceDN w:val="0"/>
        <w:adjustRightInd w:val="0"/>
        <w:spacing w:after="0" w:line="240" w:lineRule="auto"/>
        <w:ind w:left="-720"/>
        <w:rPr>
          <w:rFonts w:ascii="Times New Roman" w:eastAsia="Times New Roman" w:hAnsi="Times New Roman"/>
          <w:b/>
          <w:sz w:val="20"/>
          <w:szCs w:val="20"/>
        </w:rPr>
      </w:pPr>
      <w:bookmarkStart w:id="6" w:name="_Toc438124274"/>
      <w:r>
        <w:rPr>
          <w:rFonts w:ascii="Times New Roman" w:eastAsia="Times New Roman" w:hAnsi="Times New Roman"/>
          <w:b/>
          <w:sz w:val="20"/>
          <w:szCs w:val="20"/>
        </w:rPr>
        <w:lastRenderedPageBreak/>
        <w:t xml:space="preserve">I.80 </w:t>
      </w:r>
      <w:r w:rsidRPr="00D305F1">
        <w:rPr>
          <w:rFonts w:ascii="Times New Roman" w:eastAsia="Times New Roman" w:hAnsi="Times New Roman"/>
          <w:b/>
          <w:sz w:val="20"/>
          <w:szCs w:val="20"/>
        </w:rPr>
        <w:t>52.227-23 RIGHTS TO PROPOSAL DATA (TECHNICAL) (JUN 1987)</w:t>
      </w:r>
      <w:bookmarkEnd w:id="6"/>
      <w:r w:rsidRPr="00D305F1">
        <w:rPr>
          <w:rFonts w:ascii="Times New Roman" w:eastAsia="Times New Roman" w:hAnsi="Times New Roman"/>
          <w:b/>
          <w:sz w:val="20"/>
          <w:szCs w:val="20"/>
        </w:rPr>
        <w:t xml:space="preserve"> </w:t>
      </w:r>
    </w:p>
    <w:p w:rsidR="00D305F1" w:rsidRPr="00D305F1" w:rsidRDefault="00D305F1" w:rsidP="00D305F1">
      <w:pPr>
        <w:widowControl w:val="0"/>
        <w:autoSpaceDE w:val="0"/>
        <w:autoSpaceDN w:val="0"/>
        <w:adjustRightInd w:val="0"/>
        <w:spacing w:after="0" w:line="240" w:lineRule="auto"/>
        <w:rPr>
          <w:rFonts w:ascii="Times New Roman" w:eastAsia="Times New Roman" w:hAnsi="Times New Roman"/>
          <w:sz w:val="20"/>
          <w:szCs w:val="20"/>
        </w:rPr>
      </w:pPr>
    </w:p>
    <w:p w:rsidR="00D305F1" w:rsidRDefault="00D305F1" w:rsidP="00D305F1">
      <w:pPr>
        <w:widowControl w:val="0"/>
        <w:autoSpaceDE w:val="0"/>
        <w:autoSpaceDN w:val="0"/>
        <w:adjustRightInd w:val="0"/>
        <w:spacing w:after="0" w:line="240" w:lineRule="auto"/>
        <w:rPr>
          <w:rFonts w:ascii="Times New Roman" w:eastAsia="Times New Roman" w:hAnsi="Times New Roman"/>
          <w:sz w:val="20"/>
          <w:szCs w:val="20"/>
        </w:rPr>
      </w:pPr>
      <w:r w:rsidRPr="00D305F1">
        <w:rPr>
          <w:rFonts w:ascii="Times New Roman" w:eastAsia="Times New Roman" w:hAnsi="Times New Roman"/>
          <w:sz w:val="20"/>
          <w:szCs w:val="20"/>
        </w:rPr>
        <w:t>Except for data contained on pages [TBD], it is agreed that as a condition of award of this contract, and notwithstanding the conditions of any notice appearing thereon, the Government shall have unlimited rights (as defined in the "Rights in Data – Facilities" clause</w:t>
      </w:r>
      <w:r w:rsidRPr="00D305F1">
        <w:rPr>
          <w:rFonts w:ascii="Times New Roman" w:eastAsia="Times New Roman" w:hAnsi="Times New Roman"/>
          <w:b/>
          <w:sz w:val="20"/>
          <w:szCs w:val="20"/>
        </w:rPr>
        <w:t xml:space="preserve"> </w:t>
      </w:r>
      <w:r w:rsidRPr="00D305F1">
        <w:rPr>
          <w:rFonts w:ascii="Times New Roman" w:eastAsia="Times New Roman" w:hAnsi="Times New Roman"/>
          <w:sz w:val="20"/>
          <w:szCs w:val="20"/>
        </w:rPr>
        <w:t>contained in this contract) in and to the technical data contained in the proposal dated [TBD], upon which this contract is based.</w:t>
      </w:r>
    </w:p>
    <w:p w:rsidR="00D305F1" w:rsidRPr="00D305F1" w:rsidRDefault="00D305F1" w:rsidP="00D305F1">
      <w:pPr>
        <w:widowControl w:val="0"/>
        <w:autoSpaceDE w:val="0"/>
        <w:autoSpaceDN w:val="0"/>
        <w:adjustRightInd w:val="0"/>
        <w:spacing w:after="0" w:line="240" w:lineRule="auto"/>
        <w:rPr>
          <w:rFonts w:ascii="Times New Roman" w:eastAsia="Times New Roman" w:hAnsi="Times New Roman"/>
          <w:sz w:val="20"/>
          <w:szCs w:val="20"/>
        </w:rPr>
      </w:pPr>
    </w:p>
    <w:p w:rsidR="008D54A7" w:rsidRDefault="008D54A7" w:rsidP="00DF7D96">
      <w:pPr>
        <w:widowControl w:val="0"/>
        <w:autoSpaceDE w:val="0"/>
        <w:autoSpaceDN w:val="0"/>
        <w:adjustRightInd w:val="0"/>
        <w:spacing w:after="0" w:line="240" w:lineRule="auto"/>
        <w:rPr>
          <w:rFonts w:ascii="Times New Roman" w:eastAsia="Times New Roman" w:hAnsi="Times New Roman"/>
          <w:sz w:val="20"/>
          <w:szCs w:val="20"/>
          <w:highlight w:val="yellow"/>
        </w:rPr>
      </w:pPr>
    </w:p>
    <w:p w:rsidR="00AC7068" w:rsidRPr="00AC7068" w:rsidRDefault="00AC7068" w:rsidP="00AC7068">
      <w:pPr>
        <w:widowControl w:val="0"/>
        <w:autoSpaceDE w:val="0"/>
        <w:autoSpaceDN w:val="0"/>
        <w:adjustRightInd w:val="0"/>
        <w:spacing w:after="0" w:line="240" w:lineRule="auto"/>
        <w:ind w:left="-671"/>
        <w:rPr>
          <w:rFonts w:ascii="Times New Roman" w:eastAsia="Times New Roman" w:hAnsi="Times New Roman"/>
          <w:b/>
          <w:sz w:val="20"/>
          <w:szCs w:val="20"/>
        </w:rPr>
      </w:pPr>
      <w:bookmarkStart w:id="7" w:name="_Toc438124328"/>
      <w:r>
        <w:rPr>
          <w:rFonts w:ascii="Times New Roman" w:eastAsia="Times New Roman" w:hAnsi="Times New Roman"/>
          <w:b/>
          <w:sz w:val="20"/>
          <w:szCs w:val="20"/>
        </w:rPr>
        <w:t>J.</w:t>
      </w:r>
      <w:r w:rsidR="002A0459">
        <w:rPr>
          <w:rFonts w:ascii="Times New Roman" w:eastAsia="Times New Roman" w:hAnsi="Times New Roman"/>
          <w:b/>
          <w:sz w:val="20"/>
          <w:szCs w:val="20"/>
        </w:rPr>
        <w:t>12</w:t>
      </w:r>
      <w:r>
        <w:rPr>
          <w:rFonts w:ascii="Times New Roman" w:eastAsia="Times New Roman" w:hAnsi="Times New Roman"/>
          <w:b/>
          <w:sz w:val="20"/>
          <w:szCs w:val="20"/>
        </w:rPr>
        <w:t xml:space="preserve">  </w:t>
      </w:r>
      <w:r w:rsidR="008D54A7">
        <w:rPr>
          <w:rFonts w:ascii="Times New Roman" w:eastAsia="Times New Roman" w:hAnsi="Times New Roman"/>
          <w:b/>
          <w:sz w:val="20"/>
          <w:szCs w:val="20"/>
        </w:rPr>
        <w:t xml:space="preserve"> </w:t>
      </w:r>
      <w:r w:rsidRPr="00AC7068">
        <w:rPr>
          <w:rFonts w:ascii="Times New Roman" w:eastAsia="Times New Roman" w:hAnsi="Times New Roman"/>
          <w:b/>
          <w:sz w:val="20"/>
          <w:szCs w:val="20"/>
        </w:rPr>
        <w:t>ATTACHMENT D – POSITION QUALIFICATIONS</w:t>
      </w:r>
      <w:bookmarkEnd w:id="7"/>
      <w:r w:rsidRPr="00AC7068">
        <w:rPr>
          <w:rFonts w:ascii="Times New Roman" w:eastAsia="Times New Roman" w:hAnsi="Times New Roman"/>
          <w:b/>
          <w:sz w:val="20"/>
          <w:szCs w:val="20"/>
        </w:rPr>
        <w:t xml:space="preserve"> </w:t>
      </w:r>
    </w:p>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p>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r w:rsidRPr="00AC7068">
        <w:rPr>
          <w:rFonts w:ascii="Times New Roman" w:eastAsia="Times New Roman" w:hAnsi="Times New Roman"/>
          <w:b/>
          <w:sz w:val="20"/>
          <w:szCs w:val="20"/>
        </w:rPr>
        <w:t>POSITION QUALIFICATIONS</w:t>
      </w:r>
    </w:p>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p>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r w:rsidRPr="00AC7068">
        <w:rPr>
          <w:rFonts w:ascii="Times New Roman" w:eastAsia="Times New Roman" w:hAnsi="Times New Roman"/>
          <w:sz w:val="20"/>
          <w:szCs w:val="20"/>
        </w:rPr>
        <w:t>NOTE:   If accepted, the labor category and minimum position qualifications proposed will be incorporated into (and/or replace) the below listing.</w:t>
      </w:r>
    </w:p>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p>
    <w:tbl>
      <w:tblPr>
        <w:tblW w:w="5400" w:type="dxa"/>
        <w:tblInd w:w="1035" w:type="dxa"/>
        <w:tblLayout w:type="fixed"/>
        <w:tblCellMar>
          <w:left w:w="90" w:type="dxa"/>
          <w:right w:w="90" w:type="dxa"/>
        </w:tblCellMar>
        <w:tblLook w:val="0000" w:firstRow="0" w:lastRow="0" w:firstColumn="0" w:lastColumn="0" w:noHBand="0" w:noVBand="0"/>
      </w:tblPr>
      <w:tblGrid>
        <w:gridCol w:w="1980"/>
        <w:gridCol w:w="3420"/>
      </w:tblGrid>
      <w:tr w:rsidR="00AC7068" w:rsidRPr="00AC7068" w:rsidTr="00AC7068">
        <w:trPr>
          <w:trHeight w:val="300"/>
        </w:trPr>
        <w:tc>
          <w:tcPr>
            <w:tcW w:w="1980" w:type="dxa"/>
            <w:tcBorders>
              <w:top w:val="single" w:sz="6" w:space="0" w:color="000000"/>
              <w:left w:val="single" w:sz="6" w:space="0" w:color="000000"/>
              <w:bottom w:val="single" w:sz="6" w:space="0" w:color="000000"/>
              <w:right w:val="single" w:sz="6" w:space="0" w:color="000000"/>
            </w:tcBorders>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r w:rsidRPr="00AC7068">
              <w:rPr>
                <w:rFonts w:ascii="Times New Roman" w:eastAsia="Times New Roman" w:hAnsi="Times New Roman"/>
                <w:b/>
                <w:sz w:val="20"/>
                <w:szCs w:val="20"/>
              </w:rPr>
              <w:t>LABOR CLASSIFICATION</w:t>
            </w:r>
          </w:p>
        </w:tc>
        <w:tc>
          <w:tcPr>
            <w:tcW w:w="3420" w:type="dxa"/>
            <w:tcBorders>
              <w:top w:val="single" w:sz="6" w:space="0" w:color="000000"/>
              <w:left w:val="single" w:sz="6" w:space="0" w:color="000000"/>
              <w:bottom w:val="single" w:sz="6" w:space="0" w:color="000000"/>
              <w:right w:val="single" w:sz="6" w:space="0" w:color="000000"/>
            </w:tcBorders>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b/>
                <w:sz w:val="20"/>
                <w:szCs w:val="20"/>
              </w:rPr>
            </w:pPr>
            <w:r w:rsidRPr="00AC7068">
              <w:rPr>
                <w:rFonts w:ascii="Times New Roman" w:eastAsia="Times New Roman" w:hAnsi="Times New Roman"/>
                <w:b/>
                <w:sz w:val="20"/>
                <w:szCs w:val="20"/>
              </w:rPr>
              <w:t>MINIMUM QUALIFICATION</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Business Manger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Database Administrator (IT)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Educational Specialist</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General Clerk I</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Graphic Designer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Librarian</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Library Technician</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Meeting/Event Planner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Multimedia Artists</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Multimedia Services Manager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Program Manager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Software Engineer II</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Technical Writer I</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Technical Writer II</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Technical Writer</w:t>
            </w:r>
            <w:bookmarkStart w:id="8" w:name="_GoBack"/>
            <w:bookmarkEnd w:id="8"/>
            <w:r w:rsidRPr="00AC7068">
              <w:rPr>
                <w:rFonts w:ascii="Times New Roman" w:eastAsia="Times New Roman" w:hAnsi="Times New Roman"/>
                <w:sz w:val="20"/>
                <w:szCs w:val="20"/>
              </w:rPr>
              <w:t xml:space="preserve"> III</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p>
        </w:tc>
      </w:tr>
      <w:tr w:rsidR="00AC7068" w:rsidRPr="00AC7068" w:rsidTr="00AC7068">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sidRPr="00AC7068">
              <w:rPr>
                <w:rFonts w:ascii="Times New Roman" w:eastAsia="Times New Roman" w:hAnsi="Times New Roman"/>
                <w:sz w:val="20"/>
                <w:szCs w:val="20"/>
              </w:rPr>
              <w:t>Web Designer</w:t>
            </w:r>
          </w:p>
        </w:tc>
        <w:tc>
          <w:tcPr>
            <w:tcW w:w="3420" w:type="dxa"/>
            <w:tcBorders>
              <w:top w:val="single" w:sz="6" w:space="0" w:color="000000"/>
              <w:left w:val="single" w:sz="6" w:space="0" w:color="000000"/>
              <w:bottom w:val="single" w:sz="6" w:space="0" w:color="000000"/>
              <w:right w:val="single" w:sz="6" w:space="0" w:color="000000"/>
            </w:tcBorders>
            <w:shd w:val="clear" w:color="auto" w:fill="auto"/>
          </w:tcPr>
          <w:p w:rsidR="00AC7068" w:rsidRPr="00AC7068" w:rsidRDefault="00AC7068" w:rsidP="00AC7068">
            <w:pPr>
              <w:widowControl w:val="0"/>
              <w:autoSpaceDE w:val="0"/>
              <w:autoSpaceDN w:val="0"/>
              <w:adjustRightInd w:val="0"/>
              <w:spacing w:after="0" w:line="240" w:lineRule="auto"/>
              <w:rPr>
                <w:rFonts w:ascii="Times New Roman" w:eastAsia="Times New Roman" w:hAnsi="Times New Roman"/>
                <w:sz w:val="20"/>
                <w:szCs w:val="20"/>
              </w:rPr>
            </w:pPr>
            <w:r>
              <w:rPr>
                <w:rFonts w:ascii="Times New Roman" w:eastAsia="Times New Roman" w:hAnsi="Times New Roman"/>
                <w:sz w:val="20"/>
                <w:szCs w:val="20"/>
              </w:rPr>
              <w:t>TBD</w:t>
            </w:r>
            <w:r w:rsidRPr="00AC7068">
              <w:rPr>
                <w:rFonts w:ascii="Times New Roman" w:eastAsia="Times New Roman" w:hAnsi="Times New Roman"/>
                <w:sz w:val="20"/>
                <w:szCs w:val="20"/>
              </w:rPr>
              <w:t xml:space="preserve"> </w:t>
            </w:r>
          </w:p>
        </w:tc>
      </w:tr>
    </w:tbl>
    <w:p w:rsidR="00AC7068" w:rsidRDefault="00AC7068" w:rsidP="00DF7D96">
      <w:pPr>
        <w:widowControl w:val="0"/>
        <w:autoSpaceDE w:val="0"/>
        <w:autoSpaceDN w:val="0"/>
        <w:adjustRightInd w:val="0"/>
        <w:spacing w:after="0" w:line="240" w:lineRule="auto"/>
        <w:rPr>
          <w:rFonts w:ascii="Times New Roman" w:eastAsia="Times New Roman" w:hAnsi="Times New Roman"/>
          <w:sz w:val="20"/>
          <w:szCs w:val="20"/>
          <w:highlight w:val="yellow"/>
        </w:rPr>
      </w:pPr>
    </w:p>
    <w:p w:rsidR="00AC7068" w:rsidRDefault="00AC7068" w:rsidP="00B56286">
      <w:pPr>
        <w:pStyle w:val="Heading2"/>
        <w:rPr>
          <w:b/>
          <w:bCs/>
        </w:rPr>
      </w:pPr>
      <w:bookmarkStart w:id="9" w:name="_Toc377051352"/>
      <w:bookmarkStart w:id="10" w:name="_Toc385852832"/>
    </w:p>
    <w:p w:rsidR="00B56286" w:rsidRPr="00C83574" w:rsidRDefault="00B56286" w:rsidP="00B56286">
      <w:pPr>
        <w:pStyle w:val="Heading2"/>
      </w:pPr>
      <w:r w:rsidRPr="00C83574">
        <w:rPr>
          <w:b/>
          <w:bCs/>
        </w:rPr>
        <w:t>K.</w:t>
      </w:r>
      <w:r w:rsidR="00C13B13" w:rsidRPr="00C83574">
        <w:rPr>
          <w:b/>
          <w:bCs/>
        </w:rPr>
        <w:t>2</w:t>
      </w:r>
      <w:r w:rsidRPr="00C83574">
        <w:rPr>
          <w:b/>
          <w:bCs/>
        </w:rPr>
        <w:tab/>
        <w:t xml:space="preserve"> 52.</w:t>
      </w:r>
      <w:r w:rsidR="00C13B13" w:rsidRPr="00C83574">
        <w:rPr>
          <w:b/>
          <w:bCs/>
        </w:rPr>
        <w:t xml:space="preserve">209-7 INFORMATION REGARDING RESPONSIBILITY MATTERS (JUL 2013) </w:t>
      </w:r>
      <w:bookmarkEnd w:id="9"/>
      <w:bookmarkEnd w:id="10"/>
      <w:r w:rsidRPr="00C83574">
        <w:t xml:space="preserve"> </w:t>
      </w:r>
    </w:p>
    <w:p w:rsidR="00B56286" w:rsidRPr="00DA3728" w:rsidRDefault="00B56286" w:rsidP="00B56286">
      <w:pPr>
        <w:widowControl w:val="0"/>
        <w:autoSpaceDE w:val="0"/>
        <w:autoSpaceDN w:val="0"/>
        <w:adjustRightInd w:val="0"/>
        <w:spacing w:after="0" w:line="240" w:lineRule="auto"/>
        <w:outlineLvl w:val="0"/>
        <w:rPr>
          <w:rFonts w:ascii="Times New Roman" w:eastAsia="Times New Roman" w:hAnsi="Times New Roman"/>
          <w:sz w:val="20"/>
          <w:szCs w:val="20"/>
          <w:highlight w:val="yellow"/>
        </w:rPr>
      </w:pPr>
    </w:p>
    <w:p w:rsidR="00763526" w:rsidRDefault="00C13B13" w:rsidP="00C13B13">
      <w:pPr>
        <w:pStyle w:val="ClauseText9"/>
        <w:ind w:left="720"/>
      </w:pPr>
      <w:r w:rsidRPr="006802A8">
        <w:t>(a) Definitions. As used in this provision-</w:t>
      </w:r>
    </w:p>
    <w:p w:rsidR="00C13B13" w:rsidRPr="006802A8" w:rsidRDefault="00C13B13" w:rsidP="00C13B13">
      <w:pPr>
        <w:pStyle w:val="ClauseText9"/>
        <w:ind w:left="720"/>
      </w:pPr>
      <w:r w:rsidRPr="006802A8">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C13B13" w:rsidRPr="006802A8" w:rsidRDefault="00C13B13" w:rsidP="00C13B13">
      <w:pPr>
        <w:pStyle w:val="ClauseText9"/>
      </w:pPr>
    </w:p>
    <w:p w:rsidR="00C13B13" w:rsidRPr="006802A8" w:rsidRDefault="00C13B13" w:rsidP="00C13B13">
      <w:pPr>
        <w:pStyle w:val="ClauseText9"/>
        <w:ind w:left="720"/>
      </w:pPr>
      <w:r w:rsidRPr="006802A8">
        <w:t>"Federal contracts and grants with total value greater than $10,000,000" means-</w:t>
      </w:r>
    </w:p>
    <w:p w:rsidR="00C13B13" w:rsidRPr="006802A8" w:rsidRDefault="00C13B13" w:rsidP="00C13B13">
      <w:pPr>
        <w:pStyle w:val="ClauseText9"/>
      </w:pPr>
    </w:p>
    <w:p w:rsidR="00C13B13" w:rsidRPr="006802A8" w:rsidRDefault="00C13B13" w:rsidP="00C13B13">
      <w:pPr>
        <w:pStyle w:val="ClauseText9"/>
        <w:ind w:left="1440"/>
      </w:pPr>
      <w:r w:rsidRPr="006802A8">
        <w:t xml:space="preserve"> (1) The total value of all current, active contracts and grants, including all priced options; and</w:t>
      </w:r>
    </w:p>
    <w:p w:rsidR="00C13B13" w:rsidRPr="006802A8" w:rsidRDefault="00C13B13" w:rsidP="00C13B13">
      <w:pPr>
        <w:pStyle w:val="ClauseText9"/>
      </w:pPr>
    </w:p>
    <w:p w:rsidR="00C13B13" w:rsidRPr="006802A8" w:rsidRDefault="00C13B13" w:rsidP="00C13B13">
      <w:pPr>
        <w:pStyle w:val="ClauseText9"/>
        <w:ind w:left="1440"/>
      </w:pPr>
      <w:r w:rsidRPr="006802A8">
        <w:t>(2) The total value of all current, active orders including all priced options under indefinite-delivery, indefinite-quantity, 8(a), or requirements contracts (including task and delivery and multiple-award Schedules).</w:t>
      </w:r>
    </w:p>
    <w:p w:rsidR="00C13B13" w:rsidRPr="006802A8" w:rsidRDefault="00C13B13" w:rsidP="00C13B13">
      <w:pPr>
        <w:pStyle w:val="ClauseText9"/>
      </w:pPr>
    </w:p>
    <w:p w:rsidR="00C13B13" w:rsidRPr="006802A8" w:rsidRDefault="00C13B13" w:rsidP="00C13B13">
      <w:pPr>
        <w:pStyle w:val="ClauseText9"/>
        <w:ind w:left="720"/>
      </w:pPr>
      <w:r w:rsidRPr="006802A8">
        <w:t>"Principal" means an officer, director, owner, partner, or a person having primary management or supervisory responsibilities within a business entity (e.g., general manager; plant manager; head of a division or business segment; and similar positions).</w:t>
      </w:r>
    </w:p>
    <w:p w:rsidR="00C13B13" w:rsidRPr="006802A8" w:rsidRDefault="00C13B13" w:rsidP="00C13B13">
      <w:pPr>
        <w:pStyle w:val="ClauseText9"/>
      </w:pPr>
    </w:p>
    <w:p w:rsidR="00C13B13" w:rsidRPr="006802A8" w:rsidRDefault="00C13B13" w:rsidP="00C13B13">
      <w:pPr>
        <w:pStyle w:val="ClauseText9"/>
        <w:ind w:left="720"/>
      </w:pPr>
      <w:r w:rsidRPr="006802A8">
        <w:t>(b) The offeror [</w:t>
      </w:r>
      <w:r w:rsidR="00C83574">
        <w:rPr>
          <w:b/>
        </w:rPr>
        <w:t>TBD</w:t>
      </w:r>
      <w:r w:rsidRPr="006802A8">
        <w:t>] has [</w:t>
      </w:r>
      <w:r w:rsidR="00C83574" w:rsidRPr="00C83574">
        <w:rPr>
          <w:b/>
        </w:rPr>
        <w:t>TBD</w:t>
      </w:r>
      <w:r w:rsidRPr="006802A8">
        <w:t>] does not have current active Federal contracts and grants with total value greater than $10,000,000.</w:t>
      </w:r>
    </w:p>
    <w:p w:rsidR="00C13B13" w:rsidRPr="006802A8" w:rsidRDefault="00C13B13" w:rsidP="00C13B13">
      <w:pPr>
        <w:pStyle w:val="ClauseText9"/>
      </w:pPr>
    </w:p>
    <w:p w:rsidR="00C13B13" w:rsidRPr="006802A8" w:rsidRDefault="00C13B13" w:rsidP="00C13B13">
      <w:pPr>
        <w:pStyle w:val="ClauseText9"/>
        <w:ind w:left="720"/>
      </w:pPr>
      <w:r w:rsidRPr="006802A8">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C13B13" w:rsidRPr="006802A8" w:rsidRDefault="00C13B13" w:rsidP="00C13B13">
      <w:pPr>
        <w:pStyle w:val="ClauseText9"/>
      </w:pPr>
    </w:p>
    <w:p w:rsidR="00C13B13" w:rsidRPr="006802A8" w:rsidRDefault="00C13B13" w:rsidP="00C13B13">
      <w:pPr>
        <w:pStyle w:val="ClauseText9"/>
        <w:ind w:left="1440"/>
      </w:pPr>
      <w:r w:rsidRPr="006802A8">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rsidR="00C13B13" w:rsidRPr="006802A8" w:rsidRDefault="00C13B13" w:rsidP="00C13B13">
      <w:pPr>
        <w:pStyle w:val="ClauseText9"/>
      </w:pPr>
    </w:p>
    <w:p w:rsidR="00C13B13" w:rsidRPr="006802A8" w:rsidRDefault="00C13B13" w:rsidP="00C13B13">
      <w:pPr>
        <w:pStyle w:val="ClauseText9"/>
        <w:ind w:left="2160"/>
      </w:pPr>
      <w:r w:rsidRPr="006802A8">
        <w:t>(</w:t>
      </w:r>
      <w:proofErr w:type="spellStart"/>
      <w:r w:rsidRPr="006802A8">
        <w:t>i</w:t>
      </w:r>
      <w:proofErr w:type="spellEnd"/>
      <w:r w:rsidRPr="006802A8">
        <w:t>) In a criminal proceeding, a conviction.</w:t>
      </w:r>
    </w:p>
    <w:p w:rsidR="00C13B13" w:rsidRPr="006802A8" w:rsidRDefault="00C13B13" w:rsidP="00C13B13">
      <w:pPr>
        <w:pStyle w:val="ClauseText9"/>
      </w:pPr>
    </w:p>
    <w:p w:rsidR="00C13B13" w:rsidRPr="006802A8" w:rsidRDefault="00C13B13" w:rsidP="00C13B13">
      <w:pPr>
        <w:pStyle w:val="ClauseText9"/>
        <w:ind w:left="2160"/>
      </w:pPr>
      <w:r w:rsidRPr="006802A8">
        <w:t>(ii) In a civil proceeding, a finding of fault and liability that results in the payment of a monetary fine, penalty, reimbursement, restitution, or damages of $5,000 or more.</w:t>
      </w:r>
    </w:p>
    <w:p w:rsidR="00C13B13" w:rsidRPr="006802A8" w:rsidRDefault="00C13B13" w:rsidP="00C13B13">
      <w:pPr>
        <w:pStyle w:val="ClauseText9"/>
      </w:pPr>
    </w:p>
    <w:p w:rsidR="00C13B13" w:rsidRPr="006802A8" w:rsidRDefault="00C13B13" w:rsidP="00C13B13">
      <w:pPr>
        <w:pStyle w:val="ClauseText9"/>
        <w:ind w:left="2160"/>
      </w:pPr>
      <w:r w:rsidRPr="006802A8">
        <w:t>(iii) In an administrative proceeding, a finding of fault and liability that results in-</w:t>
      </w:r>
    </w:p>
    <w:p w:rsidR="00C13B13" w:rsidRPr="006802A8" w:rsidRDefault="00C13B13" w:rsidP="00C13B13">
      <w:pPr>
        <w:pStyle w:val="ClauseText9"/>
      </w:pPr>
    </w:p>
    <w:p w:rsidR="00C13B13" w:rsidRPr="006802A8" w:rsidRDefault="00C13B13" w:rsidP="00C13B13">
      <w:pPr>
        <w:pStyle w:val="ClauseText9"/>
        <w:ind w:left="2880"/>
      </w:pPr>
      <w:r w:rsidRPr="006802A8">
        <w:t>(A) The payment of a monetary fine or penalty of $5,000 or more; or</w:t>
      </w:r>
    </w:p>
    <w:p w:rsidR="00C13B13" w:rsidRPr="006802A8" w:rsidRDefault="00C13B13" w:rsidP="00C13B13">
      <w:pPr>
        <w:pStyle w:val="ClauseText9"/>
      </w:pPr>
    </w:p>
    <w:p w:rsidR="00C13B13" w:rsidRPr="006802A8" w:rsidRDefault="00C13B13" w:rsidP="00C13B13">
      <w:pPr>
        <w:pStyle w:val="ClauseText9"/>
        <w:ind w:left="2880"/>
      </w:pPr>
      <w:r w:rsidRPr="006802A8">
        <w:t>(B) The payment of a reimbursement, restitution, or damages in excess of $100,000.</w:t>
      </w:r>
    </w:p>
    <w:p w:rsidR="00C13B13" w:rsidRPr="006802A8" w:rsidRDefault="00C13B13" w:rsidP="00C13B13">
      <w:pPr>
        <w:pStyle w:val="ClauseText9"/>
      </w:pPr>
    </w:p>
    <w:p w:rsidR="00C13B13" w:rsidRPr="006802A8" w:rsidRDefault="00C13B13" w:rsidP="00C13B13">
      <w:pPr>
        <w:pStyle w:val="ClauseText9"/>
        <w:ind w:left="2160"/>
      </w:pPr>
      <w:r w:rsidRPr="006802A8">
        <w:t>(iv)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6802A8">
        <w:t>i</w:t>
      </w:r>
      <w:proofErr w:type="spellEnd"/>
      <w:r w:rsidRPr="006802A8">
        <w:t>), (c)(1)(ii), or (c)(1)(iii) of this provision.</w:t>
      </w:r>
    </w:p>
    <w:p w:rsidR="00C13B13" w:rsidRPr="006802A8" w:rsidRDefault="00C13B13" w:rsidP="00C13B13">
      <w:pPr>
        <w:pStyle w:val="ClauseText9"/>
      </w:pPr>
    </w:p>
    <w:p w:rsidR="00C13B13" w:rsidRPr="006802A8" w:rsidRDefault="00C13B13" w:rsidP="00C13B13">
      <w:pPr>
        <w:pStyle w:val="ClauseText9"/>
        <w:ind w:left="1440"/>
      </w:pPr>
      <w:r w:rsidRPr="006802A8">
        <w:t>(2) If the offeror has been involved in the last five years in any of the occurrences listed in (c</w:t>
      </w:r>
      <w:proofErr w:type="gramStart"/>
      <w:r w:rsidRPr="006802A8">
        <w:t>)(</w:t>
      </w:r>
      <w:proofErr w:type="gramEnd"/>
      <w:r w:rsidRPr="006802A8">
        <w:t>1) of this provision, whether the offeror has provided the requested information with regard to each occurrence.</w:t>
      </w:r>
    </w:p>
    <w:p w:rsidR="00C13B13" w:rsidRPr="006802A8" w:rsidRDefault="00C13B13" w:rsidP="00C13B13">
      <w:pPr>
        <w:pStyle w:val="ClauseText9"/>
      </w:pPr>
    </w:p>
    <w:p w:rsidR="00EC7BA0" w:rsidRPr="00322387" w:rsidRDefault="00C13B13" w:rsidP="00763526">
      <w:pPr>
        <w:pStyle w:val="ClauseText9"/>
        <w:ind w:left="720"/>
      </w:pPr>
      <w:r w:rsidRPr="006802A8">
        <w:t>(d) The offeror shall post the information in paragraphs (c</w:t>
      </w:r>
      <w:proofErr w:type="gramStart"/>
      <w:r w:rsidRPr="006802A8">
        <w:t>)(</w:t>
      </w:r>
      <w:proofErr w:type="gramEnd"/>
      <w:r w:rsidRPr="006802A8">
        <w:t>1)(</w:t>
      </w:r>
      <w:proofErr w:type="spellStart"/>
      <w:r w:rsidRPr="006802A8">
        <w:t>i</w:t>
      </w:r>
      <w:proofErr w:type="spellEnd"/>
      <w:r w:rsidRPr="006802A8">
        <w:t xml:space="preserve">) through (c)(1)(iv) of this provision in FAPIIS as required through maintaining an active registration in the System for Award Management database via </w:t>
      </w:r>
      <w:r w:rsidRPr="006802A8">
        <w:rPr>
          <w:i/>
          <w:iCs/>
        </w:rPr>
        <w:t>https://www.acquisition.gov</w:t>
      </w:r>
      <w:r w:rsidRPr="006802A8">
        <w:t xml:space="preserve"> (see 52.204-7).</w:t>
      </w:r>
    </w:p>
    <w:sectPr w:rsidR="00EC7BA0" w:rsidRPr="0032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EB83829"/>
    <w:multiLevelType w:val="hybridMultilevel"/>
    <w:tmpl w:val="A97228A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8438C3E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FD57804"/>
    <w:multiLevelType w:val="hybridMultilevel"/>
    <w:tmpl w:val="05B44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C5ABB"/>
    <w:multiLevelType w:val="multilevel"/>
    <w:tmpl w:val="F692CBDA"/>
    <w:numStyleLink w:val="Style1"/>
  </w:abstractNum>
  <w:abstractNum w:abstractNumId="4" w15:restartNumberingAfterBreak="0">
    <w:nsid w:val="27B215B9"/>
    <w:multiLevelType w:val="hybridMultilevel"/>
    <w:tmpl w:val="9BB84C6C"/>
    <w:lvl w:ilvl="0" w:tplc="D3FE46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74B36"/>
    <w:multiLevelType w:val="hybridMultilevel"/>
    <w:tmpl w:val="4EB27C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86466"/>
    <w:multiLevelType w:val="multilevel"/>
    <w:tmpl w:val="F692CBDA"/>
    <w:styleLink w:val="Style1"/>
    <w:lvl w:ilvl="0">
      <w:start w:val="10"/>
      <w:numFmt w:val="upperLetter"/>
      <w:lvlText w:val="%1"/>
      <w:lvlJc w:val="left"/>
      <w:pPr>
        <w:ind w:left="870" w:hanging="771"/>
      </w:pPr>
      <w:rPr>
        <w:rFonts w:cs="Times New Roman" w:hint="default"/>
      </w:rPr>
    </w:lvl>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7" w15:restartNumberingAfterBreak="0">
    <w:nsid w:val="3804384E"/>
    <w:multiLevelType w:val="hybridMultilevel"/>
    <w:tmpl w:val="C27ED214"/>
    <w:lvl w:ilvl="0" w:tplc="1444B7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52B2D"/>
    <w:multiLevelType w:val="hybridMultilevel"/>
    <w:tmpl w:val="4B6AB25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ACA3FF9"/>
    <w:multiLevelType w:val="hybridMultilevel"/>
    <w:tmpl w:val="49908A38"/>
    <w:lvl w:ilvl="0" w:tplc="0409001B">
      <w:start w:val="1"/>
      <w:numFmt w:val="lowerRoman"/>
      <w:lvlText w:val="%1."/>
      <w:lvlJc w:val="right"/>
      <w:pPr>
        <w:ind w:left="720" w:hanging="360"/>
      </w:pPr>
    </w:lvl>
    <w:lvl w:ilvl="1" w:tplc="04D225B0">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8398A"/>
    <w:multiLevelType w:val="multilevel"/>
    <w:tmpl w:val="28E2EFC8"/>
    <w:lvl w:ilvl="0">
      <w:start w:val="8"/>
      <w:numFmt w:val="upperLetter"/>
      <w:lvlText w:val="%1"/>
      <w:lvlJc w:val="left"/>
      <w:pPr>
        <w:ind w:left="870" w:hanging="771"/>
      </w:pPr>
      <w:rPr>
        <w:rFonts w:cs="Times New Roman" w:hint="default"/>
      </w:rPr>
    </w:lvl>
    <w:lvl w:ilvl="1">
      <w:start w:val="1"/>
      <w:numFmt w:val="decimal"/>
      <w:lvlText w:val="%1.%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12" w15:restartNumberingAfterBreak="0">
    <w:nsid w:val="651062D9"/>
    <w:multiLevelType w:val="multilevel"/>
    <w:tmpl w:val="6D8E6C12"/>
    <w:lvl w:ilvl="0">
      <w:start w:val="8"/>
      <w:numFmt w:val="none"/>
      <w:lvlText w:val="I"/>
      <w:lvlJc w:val="left"/>
      <w:pPr>
        <w:ind w:left="870" w:hanging="771"/>
      </w:pPr>
      <w:rPr>
        <w:rFonts w:cs="Times New Roman"/>
      </w:rPr>
    </w:lvl>
    <w:lvl w:ilvl="1">
      <w:start w:val="1"/>
      <w:numFmt w:val="decimal"/>
      <w:lvlText w:val="I.%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lvl>
    <w:lvl w:ilvl="4">
      <w:start w:val="1"/>
      <w:numFmt w:val="bullet"/>
      <w:lvlText w:val="•"/>
      <w:lvlJc w:val="left"/>
      <w:pPr>
        <w:ind w:left="3048" w:hanging="285"/>
      </w:pPr>
    </w:lvl>
    <w:lvl w:ilvl="5">
      <w:start w:val="1"/>
      <w:numFmt w:val="bullet"/>
      <w:lvlText w:val="•"/>
      <w:lvlJc w:val="left"/>
      <w:pPr>
        <w:ind w:left="4136" w:hanging="285"/>
      </w:pPr>
    </w:lvl>
    <w:lvl w:ilvl="6">
      <w:start w:val="1"/>
      <w:numFmt w:val="bullet"/>
      <w:lvlText w:val="•"/>
      <w:lvlJc w:val="left"/>
      <w:pPr>
        <w:ind w:left="5225" w:hanging="285"/>
      </w:pPr>
    </w:lvl>
    <w:lvl w:ilvl="7">
      <w:start w:val="1"/>
      <w:numFmt w:val="bullet"/>
      <w:lvlText w:val="•"/>
      <w:lvlJc w:val="left"/>
      <w:pPr>
        <w:ind w:left="6314" w:hanging="285"/>
      </w:pPr>
    </w:lvl>
    <w:lvl w:ilvl="8">
      <w:start w:val="1"/>
      <w:numFmt w:val="bullet"/>
      <w:lvlText w:val="•"/>
      <w:lvlJc w:val="left"/>
      <w:pPr>
        <w:ind w:left="7402" w:hanging="285"/>
      </w:pPr>
    </w:lvl>
  </w:abstractNum>
  <w:abstractNum w:abstractNumId="13" w15:restartNumberingAfterBreak="0">
    <w:nsid w:val="77BE0F86"/>
    <w:multiLevelType w:val="hybridMultilevel"/>
    <w:tmpl w:val="80EA1616"/>
    <w:lvl w:ilvl="0" w:tplc="803E3C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13"/>
  </w:num>
  <w:num w:numId="4">
    <w:abstractNumId w:val="0"/>
  </w:num>
  <w:num w:numId="5">
    <w:abstractNumId w:val="1"/>
  </w:num>
  <w:num w:numId="6">
    <w:abstractNumId w:val="11"/>
  </w:num>
  <w:num w:numId="7">
    <w:abstractNumId w:val="5"/>
  </w:num>
  <w:num w:numId="8">
    <w:abstractNumId w:val="10"/>
  </w:num>
  <w:num w:numId="9">
    <w:abstractNumId w:val="2"/>
  </w:num>
  <w:num w:numId="10">
    <w:abstractNumId w:val="6"/>
  </w:num>
  <w:num w:numId="11">
    <w:abstractNumId w:val="3"/>
    <w:lvlOverride w:ilvl="0">
      <w:lvl w:ilvl="0">
        <w:start w:val="10"/>
        <w:numFmt w:val="upperLetter"/>
        <w:lvlText w:val="%1"/>
        <w:lvlJc w:val="left"/>
        <w:pPr>
          <w:ind w:left="870" w:hanging="771"/>
        </w:pPr>
        <w:rPr>
          <w:rFonts w:cs="Times New Roman" w:hint="default"/>
        </w:rPr>
      </w:lvl>
    </w:lvlOverride>
    <w:lvlOverride w:ilvl="1">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Override>
    <w:lvlOverride w:ilvl="2">
      <w:lvl w:ilvl="2">
        <w:start w:val="1"/>
        <w:numFmt w:val="decimal"/>
        <w:lvlText w:val="(%3)"/>
        <w:lvlJc w:val="left"/>
        <w:pPr>
          <w:ind w:left="820" w:hanging="285"/>
        </w:pPr>
        <w:rPr>
          <w:rFonts w:ascii="Times New Roman" w:eastAsia="Times New Roman" w:hAnsi="Times New Roman" w:cs="Times New Roman" w:hint="default"/>
          <w:w w:val="99"/>
          <w:sz w:val="20"/>
          <w:szCs w:val="20"/>
        </w:rPr>
      </w:lvl>
    </w:lvlOverride>
    <w:lvlOverride w:ilvl="3">
      <w:lvl w:ilvl="3">
        <w:start w:val="1"/>
        <w:numFmt w:val="bullet"/>
        <w:lvlText w:val="•"/>
        <w:lvlJc w:val="left"/>
        <w:pPr>
          <w:ind w:left="1959" w:hanging="285"/>
        </w:pPr>
        <w:rPr>
          <w:rFonts w:hint="default"/>
        </w:rPr>
      </w:lvl>
    </w:lvlOverride>
    <w:lvlOverride w:ilvl="4">
      <w:lvl w:ilvl="4">
        <w:start w:val="1"/>
        <w:numFmt w:val="bullet"/>
        <w:lvlText w:val="•"/>
        <w:lvlJc w:val="left"/>
        <w:pPr>
          <w:ind w:left="3048" w:hanging="285"/>
        </w:pPr>
        <w:rPr>
          <w:rFonts w:hint="default"/>
        </w:rPr>
      </w:lvl>
    </w:lvlOverride>
    <w:lvlOverride w:ilvl="5">
      <w:lvl w:ilvl="5">
        <w:start w:val="1"/>
        <w:numFmt w:val="bullet"/>
        <w:lvlText w:val="•"/>
        <w:lvlJc w:val="left"/>
        <w:pPr>
          <w:ind w:left="4136" w:hanging="285"/>
        </w:pPr>
        <w:rPr>
          <w:rFonts w:hint="default"/>
        </w:rPr>
      </w:lvl>
    </w:lvlOverride>
    <w:lvlOverride w:ilvl="6">
      <w:lvl w:ilvl="6">
        <w:start w:val="1"/>
        <w:numFmt w:val="bullet"/>
        <w:lvlText w:val="•"/>
        <w:lvlJc w:val="left"/>
        <w:pPr>
          <w:ind w:left="5225" w:hanging="285"/>
        </w:pPr>
        <w:rPr>
          <w:rFonts w:hint="default"/>
        </w:rPr>
      </w:lvl>
    </w:lvlOverride>
    <w:lvlOverride w:ilvl="7">
      <w:lvl w:ilvl="7">
        <w:start w:val="1"/>
        <w:numFmt w:val="bullet"/>
        <w:lvlText w:val="•"/>
        <w:lvlJc w:val="left"/>
        <w:pPr>
          <w:ind w:left="6314" w:hanging="285"/>
        </w:pPr>
        <w:rPr>
          <w:rFonts w:hint="default"/>
        </w:rPr>
      </w:lvl>
    </w:lvlOverride>
    <w:lvlOverride w:ilvl="8">
      <w:lvl w:ilvl="8">
        <w:start w:val="1"/>
        <w:numFmt w:val="bullet"/>
        <w:lvlText w:val="•"/>
        <w:lvlJc w:val="left"/>
        <w:pPr>
          <w:ind w:left="7402" w:hanging="285"/>
        </w:pPr>
        <w:rPr>
          <w:rFonts w:hint="default"/>
        </w:rPr>
      </w:lvl>
    </w:lvlOverride>
  </w:num>
  <w:num w:numId="12">
    <w:abstractNumId w:val="12"/>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87"/>
    <w:rsid w:val="002A0459"/>
    <w:rsid w:val="00322387"/>
    <w:rsid w:val="005561BB"/>
    <w:rsid w:val="00763526"/>
    <w:rsid w:val="007742F1"/>
    <w:rsid w:val="00815190"/>
    <w:rsid w:val="00817F7E"/>
    <w:rsid w:val="008D54A7"/>
    <w:rsid w:val="00AC7068"/>
    <w:rsid w:val="00B56286"/>
    <w:rsid w:val="00BE7AD7"/>
    <w:rsid w:val="00C13B13"/>
    <w:rsid w:val="00C83574"/>
    <w:rsid w:val="00D305F1"/>
    <w:rsid w:val="00D847E7"/>
    <w:rsid w:val="00DA3728"/>
    <w:rsid w:val="00DF7D96"/>
    <w:rsid w:val="00E11FA4"/>
    <w:rsid w:val="00EC7BA0"/>
    <w:rsid w:val="00FF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C4210-47CB-40B2-A780-A92DCD5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AD7"/>
    <w:rPr>
      <w:rFonts w:ascii="Calibri" w:eastAsia="Calibri" w:hAnsi="Calibri" w:cs="Times New Roman"/>
    </w:rPr>
  </w:style>
  <w:style w:type="paragraph" w:styleId="Heading1">
    <w:name w:val="heading 1"/>
    <w:basedOn w:val="Normal"/>
    <w:next w:val="Normal"/>
    <w:link w:val="Heading1Char"/>
    <w:uiPriority w:val="9"/>
    <w:qFormat/>
    <w:rsid w:val="00C13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56286"/>
    <w:pPr>
      <w:widowControl w:val="0"/>
      <w:autoSpaceDE w:val="0"/>
      <w:autoSpaceDN w:val="0"/>
      <w:adjustRightInd w:val="0"/>
      <w:spacing w:after="0" w:line="240" w:lineRule="auto"/>
      <w:outlineLvl w:val="1"/>
    </w:pPr>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387"/>
    <w:pPr>
      <w:spacing w:after="0" w:line="240" w:lineRule="auto"/>
    </w:pPr>
  </w:style>
  <w:style w:type="paragraph" w:styleId="ListParagraph">
    <w:name w:val="List Paragraph"/>
    <w:basedOn w:val="Normal"/>
    <w:uiPriority w:val="34"/>
    <w:qFormat/>
    <w:rsid w:val="00DF7D96"/>
    <w:pPr>
      <w:ind w:left="720"/>
      <w:contextualSpacing/>
    </w:pPr>
  </w:style>
  <w:style w:type="character" w:customStyle="1" w:styleId="Heading2Char">
    <w:name w:val="Heading 2 Char"/>
    <w:basedOn w:val="DefaultParagraphFont"/>
    <w:link w:val="Heading2"/>
    <w:rsid w:val="00B5628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13B13"/>
    <w:rPr>
      <w:rFonts w:asciiTheme="majorHAnsi" w:eastAsiaTheme="majorEastAsia" w:hAnsiTheme="majorHAnsi" w:cstheme="majorBidi"/>
      <w:b/>
      <w:bCs/>
      <w:color w:val="365F91" w:themeColor="accent1" w:themeShade="BF"/>
      <w:sz w:val="28"/>
      <w:szCs w:val="28"/>
    </w:rPr>
  </w:style>
  <w:style w:type="paragraph" w:customStyle="1" w:styleId="ClauseText9">
    <w:name w:val="Clause Text 9"/>
    <w:next w:val="Normal"/>
    <w:uiPriority w:val="99"/>
    <w:rsid w:val="00C13B1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styleId="CommentReference">
    <w:name w:val="annotation reference"/>
    <w:basedOn w:val="DefaultParagraphFont"/>
    <w:uiPriority w:val="99"/>
    <w:unhideWhenUsed/>
    <w:rsid w:val="00C13B13"/>
    <w:rPr>
      <w:rFonts w:cs="Times New Roman"/>
      <w:sz w:val="16"/>
      <w:szCs w:val="16"/>
    </w:rPr>
  </w:style>
  <w:style w:type="paragraph" w:styleId="CommentText">
    <w:name w:val="annotation text"/>
    <w:basedOn w:val="Normal"/>
    <w:link w:val="CommentTextChar"/>
    <w:uiPriority w:val="99"/>
    <w:unhideWhenUsed/>
    <w:rsid w:val="00C13B13"/>
    <w:pPr>
      <w:widowControl w:val="0"/>
      <w:autoSpaceDE w:val="0"/>
      <w:autoSpaceDN w:val="0"/>
      <w:adjustRightInd w:val="0"/>
      <w:spacing w:after="0" w:line="240" w:lineRule="auto"/>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C13B1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C13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13"/>
    <w:rPr>
      <w:rFonts w:ascii="Tahoma" w:eastAsia="Calibri" w:hAnsi="Tahoma" w:cs="Tahoma"/>
      <w:sz w:val="16"/>
      <w:szCs w:val="16"/>
    </w:rPr>
  </w:style>
  <w:style w:type="numbering" w:customStyle="1" w:styleId="Style1">
    <w:name w:val="Style1"/>
    <w:uiPriority w:val="99"/>
    <w:rsid w:val="00AC706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0746">
      <w:bodyDiv w:val="1"/>
      <w:marLeft w:val="0"/>
      <w:marRight w:val="0"/>
      <w:marTop w:val="0"/>
      <w:marBottom w:val="0"/>
      <w:divBdr>
        <w:top w:val="none" w:sz="0" w:space="0" w:color="auto"/>
        <w:left w:val="none" w:sz="0" w:space="0" w:color="auto"/>
        <w:bottom w:val="none" w:sz="0" w:space="0" w:color="auto"/>
        <w:right w:val="none" w:sz="0" w:space="0" w:color="auto"/>
      </w:divBdr>
    </w:div>
    <w:div w:id="14769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6A4B-3822-402B-BDE2-E27ECD8E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Dept. Of Energy, NETL</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Raelynn N Honkus</dc:creator>
  <cp:lastModifiedBy>Cassell, Kellyn L. </cp:lastModifiedBy>
  <cp:revision>17</cp:revision>
  <dcterms:created xsi:type="dcterms:W3CDTF">2014-04-30T13:47:00Z</dcterms:created>
  <dcterms:modified xsi:type="dcterms:W3CDTF">2016-02-03T19:23:00Z</dcterms:modified>
</cp:coreProperties>
</file>