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EA4A" w14:textId="77777777" w:rsidR="00204AE2" w:rsidRDefault="00161193">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QUESTIONS AND RESPONSES – October 18, 2017</w:t>
      </w:r>
    </w:p>
    <w:p w14:paraId="6B9FE861"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 All nodes – IPMI support</w:t>
      </w:r>
    </w:p>
    <w:p w14:paraId="70A2C6B9"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What type of IPMI functionality/capability does NETL require?</w:t>
      </w:r>
    </w:p>
    <w:p w14:paraId="2FAEA038"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Does NETL require IP access to the nodes via 1GbE above and beyond the 1GbE IPMI connections?  If so, what will this be used for?</w:t>
      </w:r>
    </w:p>
    <w:p w14:paraId="5945454E" w14:textId="77777777" w:rsidR="00204AE2" w:rsidRDefault="00204AE2">
      <w:pPr>
        <w:spacing w:after="0" w:line="240" w:lineRule="auto"/>
        <w:rPr>
          <w:rFonts w:ascii="Times New Roman" w:eastAsia="Calibri" w:hAnsi="Times New Roman" w:cs="Times New Roman"/>
          <w:color w:val="000000"/>
          <w:sz w:val="24"/>
          <w:szCs w:val="24"/>
        </w:rPr>
      </w:pPr>
    </w:p>
    <w:p w14:paraId="5180ADAE" w14:textId="77777777" w:rsidR="00204AE2" w:rsidRDefault="00161193">
      <w:pPr>
        <w:spacing w:after="0" w:line="240" w:lineRule="auto"/>
      </w:pPr>
      <w:r>
        <w:rPr>
          <w:rFonts w:ascii="Times New Roman" w:eastAsia="Calibri" w:hAnsi="Times New Roman" w:cs="Times New Roman"/>
          <w:b/>
          <w:color w:val="000000"/>
          <w:sz w:val="24"/>
          <w:szCs w:val="24"/>
        </w:rPr>
        <w:t>Response</w:t>
      </w:r>
      <w:bookmarkStart w:id="0" w:name="_Hlk496085399"/>
      <w:bookmarkEnd w:id="0"/>
      <w:r>
        <w:rPr>
          <w:rFonts w:ascii="Times New Roman" w:eastAsia="Calibri" w:hAnsi="Times New Roman" w:cs="Times New Roman"/>
          <w:b/>
          <w:color w:val="000000"/>
          <w:sz w:val="24"/>
          <w:szCs w:val="24"/>
        </w:rPr>
        <w:t xml:space="preserve"> – The 1GbE interface will be used for command</w:t>
      </w:r>
      <w:r w:rsidR="004166D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&amp;</w:t>
      </w:r>
      <w:r w:rsidR="004166DD">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control and maintenance as well as IPMI.  A single PHY layer for both IPMI and 1GbE LAN is preferred.</w:t>
      </w:r>
    </w:p>
    <w:p w14:paraId="5093DF13" w14:textId="77777777" w:rsidR="00204AE2" w:rsidRDefault="00204AE2">
      <w:pPr>
        <w:spacing w:after="0" w:line="240" w:lineRule="auto"/>
        <w:rPr>
          <w:rFonts w:ascii="Times New Roman" w:eastAsia="Calibri" w:hAnsi="Times New Roman" w:cs="Times New Roman"/>
          <w:color w:val="000000"/>
          <w:sz w:val="24"/>
          <w:szCs w:val="24"/>
        </w:rPr>
      </w:pPr>
    </w:p>
    <w:p w14:paraId="53E1C733"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Q.2 All nodes – Network connectivity</w:t>
      </w:r>
    </w:p>
    <w:p w14:paraId="17A3CD91"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Where applicable, does NETL require single or dual connections to the compute, access and maintenance networks?  Where dual connections are required, would a single adapter with 2-ports suffice?</w:t>
      </w:r>
    </w:p>
    <w:p w14:paraId="0211E595" w14:textId="77777777" w:rsidR="00204AE2" w:rsidRDefault="00204AE2">
      <w:pPr>
        <w:spacing w:after="0" w:line="240" w:lineRule="auto"/>
        <w:rPr>
          <w:rFonts w:ascii="Times New Roman" w:eastAsia="Calibri" w:hAnsi="Times New Roman" w:cs="Times New Roman"/>
          <w:color w:val="000000"/>
          <w:sz w:val="24"/>
          <w:szCs w:val="24"/>
        </w:rPr>
      </w:pPr>
    </w:p>
    <w:p w14:paraId="03A1378F" w14:textId="77777777" w:rsidR="00204AE2" w:rsidRDefault="00161193">
      <w:pPr>
        <w:spacing w:after="0" w:line="240" w:lineRule="auto"/>
      </w:pPr>
      <w:r>
        <w:rPr>
          <w:rFonts w:ascii="Times New Roman" w:eastAsia="Calibri" w:hAnsi="Times New Roman" w:cs="Times New Roman"/>
          <w:b/>
          <w:color w:val="000000"/>
          <w:sz w:val="24"/>
          <w:szCs w:val="24"/>
        </w:rPr>
        <w:t>Response – Dual-port interface is acceptable.</w:t>
      </w:r>
    </w:p>
    <w:p w14:paraId="5ADD25CB" w14:textId="77777777" w:rsidR="00204AE2" w:rsidRDefault="00204AE2">
      <w:pPr>
        <w:widowControl w:val="0"/>
        <w:tabs>
          <w:tab w:val="left" w:pos="2160"/>
        </w:tabs>
        <w:suppressAutoHyphens/>
        <w:spacing w:after="0" w:line="240" w:lineRule="auto"/>
        <w:rPr>
          <w:rFonts w:ascii="Times New Roman" w:eastAsia="Calibri" w:hAnsi="Times New Roman" w:cs="Times New Roman"/>
          <w:b/>
          <w:color w:val="000000"/>
          <w:sz w:val="24"/>
          <w:szCs w:val="24"/>
        </w:rPr>
      </w:pPr>
    </w:p>
    <w:p w14:paraId="70FFBA18"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Q.3 Node access to 100Gbps Compute Network</w:t>
      </w:r>
      <w:r>
        <w:rPr>
          <w:rFonts w:ascii="Times New Roman" w:eastAsia="Calibri" w:hAnsi="Times New Roman" w:cs="Times New Roman"/>
          <w:color w:val="000000"/>
          <w:sz w:val="24"/>
          <w:szCs w:val="24"/>
        </w:rPr>
        <w:tab/>
      </w:r>
    </w:p>
    <w:p w14:paraId="1D932814"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2:1 blocking ratio was indicated for the Log-in nodes.  Please confirm that NETL requires a 2:1 blocking ratio for the compute and maintenance node’s as well.</w:t>
      </w:r>
    </w:p>
    <w:p w14:paraId="31753666"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78B4A431" w14:textId="77777777" w:rsidR="00204AE2" w:rsidRDefault="00161193">
      <w:pPr>
        <w:widowControl w:val="0"/>
        <w:tabs>
          <w:tab w:val="left" w:pos="2160"/>
        </w:tabs>
        <w:suppressAutoHyphens/>
        <w:spacing w:after="0" w:line="240" w:lineRule="auto"/>
      </w:pPr>
      <w:r>
        <w:rPr>
          <w:rFonts w:ascii="Times New Roman" w:eastAsia="Calibri" w:hAnsi="Times New Roman" w:cs="Times New Roman"/>
          <w:b/>
          <w:color w:val="000000"/>
          <w:sz w:val="24"/>
          <w:szCs w:val="24"/>
        </w:rPr>
        <w:t>Response – 1:1 blocking is required for all storage nodes.  All other nodes may use 2:1 blocking</w:t>
      </w:r>
      <w:r w:rsidR="00A87C11">
        <w:rPr>
          <w:rFonts w:ascii="Times New Roman" w:eastAsia="Calibri" w:hAnsi="Times New Roman" w:cs="Times New Roman"/>
          <w:b/>
          <w:color w:val="000000"/>
          <w:sz w:val="24"/>
          <w:szCs w:val="24"/>
        </w:rPr>
        <w:t xml:space="preserve"> or better</w:t>
      </w:r>
      <w:r>
        <w:rPr>
          <w:rFonts w:ascii="Times New Roman" w:eastAsia="Calibri" w:hAnsi="Times New Roman" w:cs="Times New Roman"/>
          <w:b/>
          <w:color w:val="000000"/>
          <w:sz w:val="24"/>
          <w:szCs w:val="24"/>
        </w:rPr>
        <w:t>.</w:t>
      </w:r>
      <w:r w:rsidR="0010727B">
        <w:rPr>
          <w:rFonts w:ascii="Times New Roman" w:eastAsia="Calibri" w:hAnsi="Times New Roman" w:cs="Times New Roman"/>
          <w:b/>
          <w:color w:val="000000"/>
          <w:sz w:val="24"/>
          <w:szCs w:val="24"/>
        </w:rPr>
        <w:t xml:space="preserve">  See RFP Figure 1.</w:t>
      </w:r>
    </w:p>
    <w:p w14:paraId="450BF465" w14:textId="77777777" w:rsidR="00204AE2" w:rsidRDefault="00204AE2">
      <w:pPr>
        <w:widowControl w:val="0"/>
        <w:tabs>
          <w:tab w:val="left" w:pos="2160"/>
        </w:tabs>
        <w:suppressAutoHyphens/>
        <w:spacing w:after="0" w:line="240" w:lineRule="auto"/>
        <w:rPr>
          <w:rFonts w:ascii="Times New Roman" w:eastAsia="Calibri" w:hAnsi="Times New Roman" w:cs="Times New Roman"/>
          <w:b/>
          <w:color w:val="000000"/>
          <w:sz w:val="24"/>
          <w:szCs w:val="24"/>
        </w:rPr>
      </w:pPr>
    </w:p>
    <w:p w14:paraId="76ABA59F"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Q.4 Section 3.2 – 4 TB RAID 1 local disk storage per node</w:t>
      </w:r>
    </w:p>
    <w:p w14:paraId="31FDCA49"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Is this raw or effective capacity (i.e. 2x 2TB drives provides 4TB of raw capacity or is NETL looking for 2 x 4TB drives)?  </w:t>
      </w:r>
    </w:p>
    <w:p w14:paraId="7046205E"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4D54ABC9" w14:textId="77777777" w:rsidR="00204AE2" w:rsidRDefault="00161193">
      <w:pPr>
        <w:widowControl w:val="0"/>
        <w:tabs>
          <w:tab w:val="left" w:pos="2160"/>
        </w:tabs>
        <w:suppressAutoHyphens/>
        <w:spacing w:after="0" w:line="240" w:lineRule="auto"/>
      </w:pPr>
      <w:r>
        <w:rPr>
          <w:rFonts w:ascii="Times New Roman" w:eastAsia="Calibri" w:hAnsi="Times New Roman" w:cs="Times New Roman"/>
          <w:b/>
          <w:color w:val="000000"/>
          <w:sz w:val="24"/>
          <w:szCs w:val="24"/>
        </w:rPr>
        <w:t>Response – Two 4TB drives in RAID1 for effective capacity of 4TB.</w:t>
      </w:r>
    </w:p>
    <w:p w14:paraId="444F1EC1"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2A5B98B3"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 5 Section 3.2 – GPU Nodes</w:t>
      </w:r>
    </w:p>
    <w:p w14:paraId="16FDC28D"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Does NETL require the GPU-based nodes be the same server type/form factor as the Large Memory nodes or is the requirement only to have the same processor type?</w:t>
      </w:r>
    </w:p>
    <w:p w14:paraId="201D658E"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22CDB342" w14:textId="77777777" w:rsidR="00204AE2" w:rsidRDefault="00161193">
      <w:pPr>
        <w:widowControl w:val="0"/>
        <w:tabs>
          <w:tab w:val="left" w:pos="2160"/>
        </w:tabs>
        <w:suppressAutoHyphens/>
        <w:spacing w:after="0" w:line="240" w:lineRule="auto"/>
      </w:pPr>
      <w:r>
        <w:rPr>
          <w:rFonts w:ascii="Times New Roman" w:eastAsia="Calibri" w:hAnsi="Times New Roman" w:cs="Times New Roman"/>
          <w:b/>
          <w:color w:val="000000"/>
          <w:sz w:val="24"/>
          <w:szCs w:val="24"/>
        </w:rPr>
        <w:t xml:space="preserve">Response – Only </w:t>
      </w:r>
      <w:r w:rsidR="00AF66B8">
        <w:rPr>
          <w:rFonts w:ascii="Times New Roman" w:eastAsia="Calibri" w:hAnsi="Times New Roman" w:cs="Times New Roman"/>
          <w:b/>
          <w:color w:val="000000"/>
          <w:sz w:val="24"/>
          <w:szCs w:val="24"/>
        </w:rPr>
        <w:t xml:space="preserve">the </w:t>
      </w:r>
      <w:r>
        <w:rPr>
          <w:rFonts w:ascii="Times New Roman" w:eastAsia="Calibri" w:hAnsi="Times New Roman" w:cs="Times New Roman"/>
          <w:b/>
          <w:color w:val="000000"/>
          <w:sz w:val="24"/>
          <w:szCs w:val="24"/>
        </w:rPr>
        <w:t>same processor type.</w:t>
      </w:r>
    </w:p>
    <w:p w14:paraId="4862A712"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0BB02AF2"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Q.6 Section 3.2 – GPU Nodes</w:t>
      </w:r>
    </w:p>
    <w:p w14:paraId="006C2B62" w14:textId="77777777" w:rsidR="00204AE2" w:rsidRDefault="001611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Does NETL have a preference between NVlink and PCIe P100 adapters?</w:t>
      </w:r>
    </w:p>
    <w:p w14:paraId="50C8FB2F" w14:textId="77777777" w:rsidR="00204AE2" w:rsidRDefault="00204AE2">
      <w:pPr>
        <w:spacing w:after="0" w:line="240" w:lineRule="auto"/>
        <w:rPr>
          <w:rFonts w:ascii="Times New Roman" w:eastAsia="Calibri" w:hAnsi="Times New Roman" w:cs="Times New Roman"/>
          <w:color w:val="000000"/>
          <w:sz w:val="24"/>
          <w:szCs w:val="24"/>
        </w:rPr>
      </w:pPr>
    </w:p>
    <w:p w14:paraId="495916D6" w14:textId="77777777" w:rsidR="00204AE2" w:rsidRDefault="00161193">
      <w:pPr>
        <w:spacing w:after="0" w:line="240" w:lineRule="auto"/>
      </w:pPr>
      <w:r>
        <w:rPr>
          <w:rFonts w:ascii="Times New Roman" w:eastAsia="Calibri" w:hAnsi="Times New Roman" w:cs="Times New Roman"/>
          <w:b/>
          <w:color w:val="000000"/>
          <w:sz w:val="24"/>
          <w:szCs w:val="24"/>
        </w:rPr>
        <w:t>Response – No preference.</w:t>
      </w:r>
    </w:p>
    <w:p w14:paraId="79CDF019" w14:textId="77777777" w:rsidR="00204AE2" w:rsidRDefault="00204AE2">
      <w:pPr>
        <w:spacing w:after="0" w:line="240" w:lineRule="auto"/>
        <w:rPr>
          <w:rFonts w:ascii="Times New Roman" w:eastAsia="Calibri" w:hAnsi="Times New Roman" w:cs="Times New Roman"/>
          <w:color w:val="000000"/>
          <w:sz w:val="24"/>
          <w:szCs w:val="24"/>
        </w:rPr>
      </w:pPr>
    </w:p>
    <w:p w14:paraId="6C80DF8C"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Q.7 Section 3.2 – Large memory and GPU Nodes</w:t>
      </w:r>
    </w:p>
    <w:p w14:paraId="270CF06D" w14:textId="77777777" w:rsidR="00204AE2" w:rsidRDefault="00161193">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Understanding there is a cost tradeoff, does NETL prefer the memory configuration to optimize performance or price?  How will this be scored during the RFP review process?</w:t>
      </w:r>
    </w:p>
    <w:p w14:paraId="36705519" w14:textId="77777777" w:rsidR="00204AE2" w:rsidRDefault="00204AE2">
      <w:pPr>
        <w:spacing w:after="0" w:line="240" w:lineRule="auto"/>
        <w:rPr>
          <w:rFonts w:ascii="Times New Roman" w:eastAsia="Calibri" w:hAnsi="Times New Roman" w:cs="Times New Roman"/>
          <w:b/>
          <w:color w:val="000000"/>
          <w:sz w:val="24"/>
          <w:szCs w:val="24"/>
        </w:rPr>
      </w:pPr>
    </w:p>
    <w:p w14:paraId="0E7D6F36" w14:textId="77777777" w:rsidR="00204AE2" w:rsidRDefault="00161193">
      <w:pPr>
        <w:spacing w:after="0" w:line="240" w:lineRule="auto"/>
      </w:pPr>
      <w:r>
        <w:rPr>
          <w:rFonts w:ascii="Times New Roman" w:eastAsia="Calibri" w:hAnsi="Times New Roman" w:cs="Times New Roman"/>
          <w:b/>
          <w:color w:val="000000"/>
          <w:sz w:val="24"/>
          <w:szCs w:val="24"/>
        </w:rPr>
        <w:t>Response – All memory should be configured for maximum bandwidth.</w:t>
      </w:r>
    </w:p>
    <w:p w14:paraId="7D2016E5" w14:textId="77777777" w:rsidR="00204AE2" w:rsidRDefault="00204AE2">
      <w:pPr>
        <w:spacing w:after="0" w:line="240" w:lineRule="auto"/>
        <w:rPr>
          <w:rFonts w:ascii="Times New Roman" w:eastAsia="Calibri" w:hAnsi="Times New Roman" w:cs="Times New Roman"/>
          <w:color w:val="000000"/>
          <w:sz w:val="24"/>
          <w:szCs w:val="24"/>
        </w:rPr>
      </w:pPr>
    </w:p>
    <w:p w14:paraId="531B5CCE"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Q.8 Section 3.3 and 3.4 – 4 TB local disk configured in RAID 1 (boot/OS)</w:t>
      </w:r>
    </w:p>
    <w:p w14:paraId="5BC4305D"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Same as above - Is this raw or effective capacity?  </w:t>
      </w:r>
    </w:p>
    <w:p w14:paraId="10803E59" w14:textId="77777777" w:rsidR="00204AE2" w:rsidRDefault="00204AE2">
      <w:pPr>
        <w:spacing w:after="0" w:line="240" w:lineRule="auto"/>
        <w:rPr>
          <w:rFonts w:ascii="Times New Roman" w:eastAsia="Calibri" w:hAnsi="Times New Roman" w:cs="Times New Roman"/>
          <w:color w:val="000000"/>
          <w:sz w:val="24"/>
          <w:szCs w:val="24"/>
        </w:rPr>
      </w:pPr>
    </w:p>
    <w:p w14:paraId="22E498A7" w14:textId="77777777" w:rsidR="00204AE2" w:rsidRDefault="00161193">
      <w:pPr>
        <w:spacing w:after="0" w:line="240" w:lineRule="auto"/>
      </w:pPr>
      <w:r>
        <w:rPr>
          <w:rFonts w:ascii="Times New Roman" w:eastAsia="Calibri" w:hAnsi="Times New Roman" w:cs="Times New Roman"/>
          <w:b/>
          <w:color w:val="000000"/>
          <w:sz w:val="24"/>
          <w:szCs w:val="24"/>
        </w:rPr>
        <w:t>Response – Two 4TB drives in RAID1 for effective capacity of 4TB.</w:t>
      </w:r>
    </w:p>
    <w:p w14:paraId="36C0FA9D" w14:textId="77777777" w:rsidR="00204AE2" w:rsidRDefault="00204AE2">
      <w:pPr>
        <w:spacing w:after="0" w:line="240" w:lineRule="auto"/>
        <w:rPr>
          <w:rFonts w:ascii="Times New Roman" w:eastAsia="Calibri" w:hAnsi="Times New Roman" w:cs="Times New Roman"/>
          <w:color w:val="000000"/>
          <w:sz w:val="24"/>
          <w:szCs w:val="24"/>
        </w:rPr>
      </w:pPr>
    </w:p>
    <w:p w14:paraId="245B1880" w14:textId="77777777" w:rsidR="00204AE2" w:rsidRDefault="00161193">
      <w:pPr>
        <w:widowControl w:val="0"/>
        <w:tabs>
          <w:tab w:val="left" w:pos="216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Q.9 Section 3.3 – </w:t>
      </w:r>
      <w:r>
        <w:rPr>
          <w:rFonts w:ascii="Times New Roman" w:eastAsia="Calibri" w:hAnsi="Times New Roman" w:cs="Times New Roman"/>
          <w:sz w:val="24"/>
          <w:szCs w:val="24"/>
        </w:rPr>
        <w:t>One NVIDIA M2000 family GPU Card w/ 4 GB or higher</w:t>
      </w:r>
    </w:p>
    <w:p w14:paraId="55C7BA92" w14:textId="77777777" w:rsidR="00204AE2" w:rsidRDefault="001611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NVIDIA M2000 is an old GPU card.  Would NETL accept a more current GPU card that has comparable numbers of cores and memory?</w:t>
      </w:r>
    </w:p>
    <w:p w14:paraId="6A4D453C" w14:textId="77777777" w:rsidR="00204AE2" w:rsidRDefault="00204AE2">
      <w:pPr>
        <w:spacing w:after="0" w:line="240" w:lineRule="auto"/>
        <w:rPr>
          <w:rFonts w:ascii="Times New Roman" w:eastAsia="Times New Roman" w:hAnsi="Times New Roman" w:cs="Times New Roman"/>
          <w:color w:val="000000"/>
          <w:sz w:val="24"/>
          <w:szCs w:val="24"/>
        </w:rPr>
      </w:pPr>
    </w:p>
    <w:p w14:paraId="3165F29A" w14:textId="77777777" w:rsidR="00204AE2" w:rsidRDefault="00161193">
      <w:pPr>
        <w:spacing w:after="0" w:line="240" w:lineRule="auto"/>
      </w:pPr>
      <w:r>
        <w:rPr>
          <w:rFonts w:ascii="Times New Roman" w:eastAsia="Calibri" w:hAnsi="Times New Roman" w:cs="Times New Roman"/>
          <w:b/>
          <w:color w:val="000000"/>
          <w:sz w:val="24"/>
          <w:szCs w:val="24"/>
        </w:rPr>
        <w:t>Response – Yes.</w:t>
      </w:r>
      <w:r w:rsidR="00AF66B8">
        <w:rPr>
          <w:rFonts w:ascii="Times New Roman" w:eastAsia="Calibri" w:hAnsi="Times New Roman" w:cs="Times New Roman"/>
          <w:b/>
          <w:color w:val="000000"/>
          <w:sz w:val="24"/>
          <w:szCs w:val="24"/>
        </w:rPr>
        <w:t xml:space="preserve">  See RFP Section 3, Note about offering alternatives.</w:t>
      </w:r>
    </w:p>
    <w:p w14:paraId="2F18D5B0" w14:textId="77777777" w:rsidR="00204AE2" w:rsidRDefault="00204AE2">
      <w:pPr>
        <w:spacing w:after="0" w:line="240" w:lineRule="auto"/>
        <w:rPr>
          <w:rFonts w:ascii="Times New Roman" w:eastAsia="Times New Roman" w:hAnsi="Times New Roman" w:cs="Times New Roman"/>
          <w:color w:val="000000"/>
          <w:sz w:val="24"/>
          <w:szCs w:val="24"/>
        </w:rPr>
      </w:pPr>
    </w:p>
    <w:p w14:paraId="66CA8F4F" w14:textId="77777777" w:rsidR="00204AE2" w:rsidRDefault="00161193">
      <w:pPr>
        <w:widowControl w:val="0"/>
        <w:tabs>
          <w:tab w:val="left" w:pos="216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Q.10 Section 3.3 and 3.5 – SSD RAID 1 for local storage (Preference)</w:t>
      </w:r>
    </w:p>
    <w:p w14:paraId="03E8C9C1" w14:textId="77777777" w:rsidR="00204AE2" w:rsidRDefault="00161193">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Understanding there is a cost premium for SSD, what SSD drive size is required?  How will this be weighted from a proposal evaluation perspective (cost/performance scoring)?</w:t>
      </w:r>
    </w:p>
    <w:p w14:paraId="1490B4DA" w14:textId="77777777" w:rsidR="00204AE2" w:rsidRDefault="00204AE2">
      <w:pPr>
        <w:spacing w:after="0" w:line="240" w:lineRule="auto"/>
        <w:rPr>
          <w:rFonts w:ascii="Times New Roman" w:eastAsia="Calibri" w:hAnsi="Times New Roman" w:cs="Times New Roman"/>
          <w:color w:val="000000"/>
          <w:sz w:val="24"/>
          <w:szCs w:val="24"/>
        </w:rPr>
      </w:pPr>
    </w:p>
    <w:p w14:paraId="0E76CA78" w14:textId="77777777" w:rsidR="00204AE2" w:rsidRDefault="00161193">
      <w:pPr>
        <w:spacing w:after="0" w:line="240" w:lineRule="auto"/>
      </w:pPr>
      <w:r>
        <w:rPr>
          <w:rFonts w:ascii="Times New Roman" w:eastAsia="Calibri" w:hAnsi="Times New Roman" w:cs="Times New Roman"/>
          <w:b/>
          <w:color w:val="000000"/>
          <w:sz w:val="24"/>
          <w:szCs w:val="24"/>
        </w:rPr>
        <w:t>Response – Two 1TB SSDs in RAID1 is minimum acceptable configuration.</w:t>
      </w:r>
    </w:p>
    <w:p w14:paraId="7E4204B4" w14:textId="77777777" w:rsidR="00204AE2" w:rsidRDefault="00204AE2">
      <w:pPr>
        <w:spacing w:after="0" w:line="240" w:lineRule="auto"/>
        <w:rPr>
          <w:rFonts w:ascii="Times New Roman" w:eastAsia="Calibri" w:hAnsi="Times New Roman" w:cs="Times New Roman"/>
          <w:color w:val="000000"/>
          <w:sz w:val="24"/>
          <w:szCs w:val="24"/>
        </w:rPr>
      </w:pPr>
    </w:p>
    <w:p w14:paraId="45BB668D"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Q.11 Section 3.5 – </w:t>
      </w:r>
      <w:r>
        <w:rPr>
          <w:rFonts w:ascii="Times New Roman" w:eastAsia="Calibri" w:hAnsi="Times New Roman" w:cs="Times New Roman"/>
          <w:sz w:val="24"/>
          <w:szCs w:val="24"/>
        </w:rPr>
        <w:t>The configuration of the firewall systems is the responsibility of the Contractor</w:t>
      </w:r>
    </w:p>
    <w:p w14:paraId="4159FE1F"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Will these systems run a specific firewall software (Check Point, PAN, etc.)?  </w:t>
      </w:r>
    </w:p>
    <w:p w14:paraId="3476CF5E"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Could NETL provide additional details on configuration expectations?</w:t>
      </w:r>
    </w:p>
    <w:p w14:paraId="4CFE1666"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4AAE2B4F" w14:textId="77777777" w:rsidR="00204AE2" w:rsidRDefault="00161193">
      <w:pPr>
        <w:spacing w:after="0" w:line="240" w:lineRule="auto"/>
      </w:pPr>
      <w:r>
        <w:rPr>
          <w:rFonts w:ascii="Times New Roman" w:eastAsia="Calibri" w:hAnsi="Times New Roman" w:cs="Times New Roman"/>
          <w:b/>
          <w:color w:val="000000"/>
          <w:sz w:val="24"/>
          <w:szCs w:val="24"/>
        </w:rPr>
        <w:t>Response – Netfilter using a current Linux Kernel.</w:t>
      </w:r>
    </w:p>
    <w:p w14:paraId="16C050E4" w14:textId="77777777" w:rsidR="00204AE2" w:rsidRDefault="00204AE2">
      <w:pPr>
        <w:widowControl w:val="0"/>
        <w:tabs>
          <w:tab w:val="left" w:pos="2160"/>
        </w:tabs>
        <w:suppressAutoHyphens/>
        <w:spacing w:after="0" w:line="240" w:lineRule="auto"/>
        <w:rPr>
          <w:rFonts w:ascii="Times New Roman" w:eastAsia="Calibri" w:hAnsi="Times New Roman" w:cs="Times New Roman"/>
          <w:color w:val="000000"/>
          <w:sz w:val="24"/>
          <w:szCs w:val="24"/>
        </w:rPr>
      </w:pPr>
    </w:p>
    <w:p w14:paraId="6AEBF079"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Q.12 Section 3.5 – 1 TB local disk configured in RAID 1 (boot/OS)</w:t>
      </w:r>
    </w:p>
    <w:p w14:paraId="78755441"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Same as above - Is this raw or effective capacity?  </w:t>
      </w:r>
    </w:p>
    <w:p w14:paraId="482E3D05" w14:textId="77777777" w:rsidR="00204AE2" w:rsidRDefault="00204AE2">
      <w:pPr>
        <w:widowControl w:val="0"/>
        <w:tabs>
          <w:tab w:val="left" w:pos="2160"/>
        </w:tabs>
        <w:suppressAutoHyphens/>
        <w:spacing w:after="0" w:line="240" w:lineRule="auto"/>
        <w:rPr>
          <w:rFonts w:ascii="Times New Roman" w:eastAsia="Calibri" w:hAnsi="Times New Roman" w:cs="Times New Roman"/>
          <w:b/>
          <w:color w:val="000000"/>
          <w:sz w:val="24"/>
          <w:szCs w:val="24"/>
        </w:rPr>
      </w:pPr>
    </w:p>
    <w:p w14:paraId="30E7C8F3" w14:textId="77777777" w:rsidR="00204AE2" w:rsidRDefault="00161193">
      <w:pPr>
        <w:spacing w:after="0" w:line="240" w:lineRule="auto"/>
      </w:pPr>
      <w:r>
        <w:rPr>
          <w:rFonts w:ascii="Times New Roman" w:eastAsia="Calibri" w:hAnsi="Times New Roman" w:cs="Times New Roman"/>
          <w:b/>
          <w:color w:val="000000"/>
          <w:sz w:val="24"/>
          <w:szCs w:val="24"/>
        </w:rPr>
        <w:t>Response – Two 4TB drives in RAID1 for 4TB effective capacity.</w:t>
      </w:r>
    </w:p>
    <w:p w14:paraId="4714EDD7" w14:textId="77777777" w:rsidR="00204AE2" w:rsidRDefault="00204AE2">
      <w:pPr>
        <w:widowControl w:val="0"/>
        <w:tabs>
          <w:tab w:val="left" w:pos="2160"/>
        </w:tabs>
        <w:suppressAutoHyphens/>
        <w:spacing w:after="0" w:line="240" w:lineRule="auto"/>
        <w:rPr>
          <w:rFonts w:ascii="Times New Roman" w:eastAsia="Calibri" w:hAnsi="Times New Roman" w:cs="Times New Roman"/>
          <w:b/>
          <w:color w:val="000000"/>
          <w:sz w:val="24"/>
          <w:szCs w:val="24"/>
        </w:rPr>
      </w:pPr>
    </w:p>
    <w:p w14:paraId="08F52999" w14:textId="77777777" w:rsidR="00204AE2" w:rsidRDefault="00161193">
      <w:pPr>
        <w:widowControl w:val="0"/>
        <w:tabs>
          <w:tab w:val="left" w:pos="2160"/>
        </w:tabs>
        <w:suppressAutoHyphen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Q.13 Section 3.5 – “Firewall System s</w:t>
      </w:r>
      <w:r>
        <w:rPr>
          <w:rFonts w:ascii="Times New Roman" w:eastAsia="Calibri" w:hAnsi="Times New Roman" w:cs="Times New Roman"/>
          <w:sz w:val="24"/>
          <w:szCs w:val="24"/>
        </w:rPr>
        <w:t>hall be networked to the Access Network and the external HPC network connection”</w:t>
      </w:r>
    </w:p>
    <w:p w14:paraId="404999EA" w14:textId="77777777" w:rsidR="00204AE2" w:rsidRDefault="00161193">
      <w:pPr>
        <w:widowControl w:val="0"/>
        <w:tabs>
          <w:tab w:val="left" w:pos="180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system configuration requirements specify “two 10Gb Ethernet ports”.  Does NETL require two separate 10Gb Ethernet adapters or is a single adapter with 2x 10Gb ports sufficient?</w:t>
      </w:r>
    </w:p>
    <w:p w14:paraId="62A27CD9"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0E9C7EAE" w14:textId="77777777" w:rsidR="00204AE2" w:rsidRDefault="00161193">
      <w:pPr>
        <w:spacing w:after="0" w:line="240" w:lineRule="auto"/>
      </w:pPr>
      <w:r>
        <w:rPr>
          <w:rFonts w:ascii="Times New Roman" w:eastAsia="Calibri" w:hAnsi="Times New Roman" w:cs="Times New Roman"/>
          <w:b/>
          <w:color w:val="000000"/>
          <w:sz w:val="24"/>
          <w:szCs w:val="24"/>
        </w:rPr>
        <w:t>Response – Dual-port interface is acceptable.</w:t>
      </w:r>
    </w:p>
    <w:p w14:paraId="24B497A1"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3F29BABA"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Q.14 Section 3.8 – Management Network</w:t>
      </w:r>
    </w:p>
    <w:p w14:paraId="3EED5719" w14:textId="77777777" w:rsidR="00204AE2" w:rsidRDefault="00161193">
      <w:pPr>
        <w:widowControl w:val="0"/>
        <w:tabs>
          <w:tab w:val="left" w:pos="216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States “Must support both IPMI access and Gigabit IP access to all nodes”.  Does this mean all nodes must have an IPMI port AND a separate 1GbE port?  If so, what will the non-IPMI 1GbE network be used for?</w:t>
      </w:r>
    </w:p>
    <w:p w14:paraId="323338A5" w14:textId="77777777" w:rsidR="00204AE2" w:rsidRDefault="00204AE2">
      <w:pPr>
        <w:spacing w:after="0" w:line="240" w:lineRule="auto"/>
        <w:rPr>
          <w:rFonts w:ascii="Times New Roman" w:eastAsia="Calibri" w:hAnsi="Times New Roman" w:cs="Times New Roman"/>
          <w:b/>
          <w:color w:val="000000"/>
          <w:sz w:val="24"/>
          <w:szCs w:val="24"/>
        </w:rPr>
      </w:pPr>
    </w:p>
    <w:p w14:paraId="7210CE42" w14:textId="77777777" w:rsidR="00204AE2" w:rsidRDefault="00161193">
      <w:pPr>
        <w:spacing w:after="0" w:line="240" w:lineRule="auto"/>
      </w:pPr>
      <w:r>
        <w:rPr>
          <w:rFonts w:ascii="Times New Roman" w:eastAsia="Calibri" w:hAnsi="Times New Roman" w:cs="Times New Roman"/>
          <w:b/>
          <w:color w:val="000000"/>
          <w:sz w:val="24"/>
          <w:szCs w:val="24"/>
        </w:rPr>
        <w:t>Response – Preference is for shared PHY layer for both IPMI and GbE LAN.  GbE LAN will be used for command</w:t>
      </w:r>
      <w:r w:rsidR="00903E8A">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&amp;</w:t>
      </w:r>
      <w:r w:rsidR="00903E8A">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control and maintenance.</w:t>
      </w:r>
    </w:p>
    <w:p w14:paraId="09C59C49" w14:textId="77777777" w:rsidR="00204AE2" w:rsidRDefault="00204AE2">
      <w:pPr>
        <w:spacing w:after="0" w:line="240" w:lineRule="auto"/>
        <w:rPr>
          <w:rFonts w:ascii="Times New Roman" w:eastAsia="Calibri" w:hAnsi="Times New Roman" w:cs="Times New Roman"/>
          <w:b/>
          <w:color w:val="000000"/>
          <w:sz w:val="24"/>
          <w:szCs w:val="24"/>
        </w:rPr>
      </w:pPr>
    </w:p>
    <w:p w14:paraId="7D095BFB"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Q.15 Section 3.9 – HPC Storage Requirements</w:t>
      </w:r>
    </w:p>
    <w:p w14:paraId="6B1AA69D"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Does NETL have a parallel file system selected?  If Lustre is selected, is NETL open to using openZFS with Lustre or is hardware RAID mandatory?</w:t>
      </w:r>
    </w:p>
    <w:p w14:paraId="7876CDBE" w14:textId="77777777" w:rsidR="00204AE2" w:rsidRDefault="00161193">
      <w:pPr>
        <w:widowControl w:val="0"/>
        <w:tabs>
          <w:tab w:val="left" w:pos="1440"/>
        </w:tabs>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Stated “Two 1TB PCIe NAND or 3D X-Point SSDs” – Current 3D X-Point SSDs are 375GB vs 1TB.  Are 2 of these 375GB drives sufficient?</w:t>
      </w:r>
    </w:p>
    <w:p w14:paraId="00BFE3D8" w14:textId="77777777" w:rsidR="00204AE2" w:rsidRDefault="00161193">
      <w:pPr>
        <w:widowControl w:val="0"/>
        <w:tabs>
          <w:tab w:val="left" w:pos="1440"/>
        </w:tabs>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Stated “10GB HGST Enterprise-class SAS drives” – Is an equivalent drive permitted or is HGST mandatory?</w:t>
      </w:r>
    </w:p>
    <w:p w14:paraId="5C9485A5" w14:textId="77777777" w:rsidR="00204AE2" w:rsidRDefault="00204AE2">
      <w:pPr>
        <w:spacing w:after="0" w:line="240" w:lineRule="auto"/>
        <w:rPr>
          <w:rFonts w:ascii="Times New Roman" w:eastAsia="Calibri" w:hAnsi="Times New Roman" w:cs="Times New Roman"/>
          <w:color w:val="000000"/>
          <w:sz w:val="24"/>
          <w:szCs w:val="24"/>
        </w:rPr>
      </w:pPr>
    </w:p>
    <w:p w14:paraId="48D80347" w14:textId="77777777" w:rsidR="00204AE2" w:rsidRDefault="00161193">
      <w:pPr>
        <w:spacing w:after="0" w:line="240" w:lineRule="auto"/>
      </w:pPr>
      <w:r>
        <w:rPr>
          <w:rFonts w:ascii="Times New Roman" w:eastAsia="Calibri" w:hAnsi="Times New Roman" w:cs="Times New Roman"/>
          <w:b/>
          <w:color w:val="000000"/>
          <w:sz w:val="24"/>
          <w:szCs w:val="24"/>
        </w:rPr>
        <w:t>Response – Hardware RAID controllers are required.  Two 375GB 3D X-Point is sufficient.  Enterprise-class SAS drives of other manufacturers are permitted, but HGST are preferred.</w:t>
      </w:r>
      <w:r w:rsidR="00903E8A">
        <w:rPr>
          <w:rFonts w:ascii="Times New Roman" w:eastAsia="Calibri" w:hAnsi="Times New Roman" w:cs="Times New Roman"/>
          <w:b/>
          <w:color w:val="000000"/>
          <w:sz w:val="24"/>
          <w:szCs w:val="24"/>
        </w:rPr>
        <w:t xml:space="preserve"> Ref. RFP Section 3.9 and Section 3.0 Note about offering alternatives.</w:t>
      </w:r>
    </w:p>
    <w:p w14:paraId="22029529"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p>
    <w:p w14:paraId="5820FB9E"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Q.16 Section 3.10 and 9.0 – Early Evaluation System</w:t>
      </w:r>
    </w:p>
    <w:p w14:paraId="0461BF4F"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Is the expected delivery of the Early Evaluation System within 10 or 14 working days after the award of the contract?</w:t>
      </w:r>
    </w:p>
    <w:p w14:paraId="34F4E42F" w14:textId="77777777" w:rsidR="00903E8A" w:rsidRDefault="00903E8A" w:rsidP="00903E8A">
      <w:pPr>
        <w:spacing w:after="0" w:line="240" w:lineRule="auto"/>
        <w:rPr>
          <w:rFonts w:ascii="Times New Roman" w:eastAsia="Calibri" w:hAnsi="Times New Roman" w:cs="Times New Roman"/>
          <w:color w:val="000000"/>
          <w:sz w:val="24"/>
          <w:szCs w:val="24"/>
        </w:rPr>
      </w:pPr>
    </w:p>
    <w:p w14:paraId="31E2B88A" w14:textId="77777777" w:rsidR="00903E8A" w:rsidRDefault="00903E8A" w:rsidP="00903E8A">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Response – </w:t>
      </w:r>
      <w:r w:rsidR="008A6AF0">
        <w:rPr>
          <w:rFonts w:ascii="Times New Roman" w:eastAsia="Calibri" w:hAnsi="Times New Roman" w:cs="Times New Roman"/>
          <w:b/>
          <w:color w:val="000000"/>
          <w:sz w:val="24"/>
          <w:szCs w:val="24"/>
        </w:rPr>
        <w:t>See RFP Section 9</w:t>
      </w:r>
    </w:p>
    <w:p w14:paraId="61CE5B53" w14:textId="77777777" w:rsidR="00903E8A" w:rsidRDefault="00903E8A" w:rsidP="00903E8A">
      <w:pPr>
        <w:spacing w:after="0" w:line="240" w:lineRule="auto"/>
      </w:pPr>
    </w:p>
    <w:p w14:paraId="44926D26"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Q.17 Section 3.9 and 4.0 – HPC and Backup Storage System</w:t>
      </w:r>
    </w:p>
    <w:p w14:paraId="40721728"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Stated “Total primary storage of at least 3.5 PB” – Is this raw or usable?  If usable, what RAID level should be factored in?</w:t>
      </w:r>
    </w:p>
    <w:p w14:paraId="73EF36E4" w14:textId="77777777" w:rsidR="00204AE2" w:rsidRDefault="00204AE2">
      <w:pPr>
        <w:spacing w:after="0" w:line="240" w:lineRule="auto"/>
        <w:rPr>
          <w:rFonts w:ascii="Times New Roman" w:eastAsia="Calibri" w:hAnsi="Times New Roman" w:cs="Times New Roman"/>
          <w:color w:val="000000"/>
          <w:sz w:val="24"/>
          <w:szCs w:val="24"/>
        </w:rPr>
      </w:pPr>
    </w:p>
    <w:p w14:paraId="3B19AF1B" w14:textId="77777777" w:rsidR="00204AE2" w:rsidRDefault="00161193">
      <w:pPr>
        <w:spacing w:after="0" w:line="240" w:lineRule="auto"/>
      </w:pPr>
      <w:r>
        <w:rPr>
          <w:rFonts w:ascii="Times New Roman" w:eastAsia="Calibri" w:hAnsi="Times New Roman" w:cs="Times New Roman"/>
          <w:b/>
          <w:color w:val="000000"/>
          <w:sz w:val="24"/>
          <w:szCs w:val="24"/>
        </w:rPr>
        <w:t>Response – Usable capacity in RAID6</w:t>
      </w:r>
    </w:p>
    <w:p w14:paraId="635F7666" w14:textId="77777777" w:rsidR="00204AE2" w:rsidRDefault="00204AE2">
      <w:pPr>
        <w:spacing w:after="0" w:line="240" w:lineRule="auto"/>
        <w:rPr>
          <w:rFonts w:ascii="Times New Roman" w:eastAsia="Calibri" w:hAnsi="Times New Roman" w:cs="Times New Roman"/>
          <w:color w:val="000000"/>
          <w:sz w:val="24"/>
          <w:szCs w:val="24"/>
        </w:rPr>
      </w:pPr>
    </w:p>
    <w:p w14:paraId="604E0DDB"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Q.18 Section 4.0 – Backup Storage System</w:t>
      </w:r>
    </w:p>
    <w:p w14:paraId="2D766C7E" w14:textId="77777777" w:rsidR="00204AE2" w:rsidRDefault="00161193">
      <w:pPr>
        <w:widowControl w:val="0"/>
        <w:tabs>
          <w:tab w:val="left" w:pos="180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system configuration requirements specify “Dual 10Gb Ethernet ports”.  Does NETL require two separate 10Gb Ethernet adapters or is a single adapter with 2x 10Gb ports sufficient?  </w:t>
      </w:r>
    </w:p>
    <w:p w14:paraId="332CE0C3" w14:textId="77777777" w:rsidR="00204AE2" w:rsidRDefault="00161193">
      <w:pPr>
        <w:widowControl w:val="0"/>
        <w:tabs>
          <w:tab w:val="left" w:pos="180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Will these 10Gb ports be connected to the NETL Access Network switches?</w:t>
      </w:r>
    </w:p>
    <w:p w14:paraId="5BB75B26" w14:textId="77777777" w:rsidR="00204AE2" w:rsidRDefault="00204AE2">
      <w:pPr>
        <w:spacing w:after="0" w:line="240" w:lineRule="auto"/>
        <w:rPr>
          <w:rFonts w:ascii="Times New Roman" w:eastAsia="Calibri" w:hAnsi="Times New Roman" w:cs="Times New Roman"/>
          <w:b/>
          <w:color w:val="000000"/>
          <w:sz w:val="24"/>
          <w:szCs w:val="24"/>
        </w:rPr>
      </w:pPr>
    </w:p>
    <w:p w14:paraId="2430B77E" w14:textId="77777777" w:rsidR="00204AE2" w:rsidRDefault="00161193">
      <w:pPr>
        <w:spacing w:after="0" w:line="240" w:lineRule="auto"/>
      </w:pPr>
      <w:r>
        <w:rPr>
          <w:rFonts w:ascii="Times New Roman" w:eastAsia="Calibri" w:hAnsi="Times New Roman" w:cs="Times New Roman"/>
          <w:b/>
          <w:color w:val="000000"/>
          <w:sz w:val="24"/>
          <w:szCs w:val="24"/>
        </w:rPr>
        <w:t>Response – Single adapter is acceptable.  Backup systems will be connected to other 10G termination points in NETL’s primary data center, not to any network in the HPC envelope.</w:t>
      </w:r>
      <w:r w:rsidR="00A04A91">
        <w:rPr>
          <w:rFonts w:ascii="Times New Roman" w:eastAsia="Calibri" w:hAnsi="Times New Roman" w:cs="Times New Roman"/>
          <w:b/>
          <w:color w:val="000000"/>
          <w:sz w:val="24"/>
          <w:szCs w:val="24"/>
        </w:rPr>
        <w:t xml:space="preserve">  See RFP Section 4.0, Required Items</w:t>
      </w:r>
    </w:p>
    <w:p w14:paraId="7BFC2BD2"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142A0955"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Q.19 Section 4.0 – Backup Storage System</w:t>
      </w:r>
    </w:p>
    <w:p w14:paraId="2BB4C70A" w14:textId="77777777" w:rsidR="00204AE2" w:rsidRDefault="00161193">
      <w:pPr>
        <w:widowControl w:val="0"/>
        <w:tabs>
          <w:tab w:val="left" w:pos="180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Would NETL accept a solution that combines all storage into the Server Nodes or are separate JBOD arrays mandatory?</w:t>
      </w:r>
    </w:p>
    <w:p w14:paraId="51449735"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4F69BE85" w14:textId="77777777" w:rsidR="00204AE2" w:rsidRDefault="00161193">
      <w:pPr>
        <w:spacing w:after="0" w:line="240" w:lineRule="auto"/>
      </w:pPr>
      <w:r>
        <w:rPr>
          <w:rFonts w:ascii="Times New Roman" w:eastAsia="Calibri" w:hAnsi="Times New Roman" w:cs="Times New Roman"/>
          <w:b/>
          <w:color w:val="000000"/>
          <w:sz w:val="24"/>
          <w:szCs w:val="24"/>
        </w:rPr>
        <w:t>Response – Both integrated storage nodes and JBOD configurations are acceptable.  SGPIO connections must be made to the backplane of integrated storage nodes to provide drive identification.</w:t>
      </w:r>
      <w:r w:rsidR="00CB17ED">
        <w:rPr>
          <w:rFonts w:ascii="Times New Roman" w:eastAsia="Calibri" w:hAnsi="Times New Roman" w:cs="Times New Roman"/>
          <w:b/>
          <w:color w:val="000000"/>
          <w:sz w:val="24"/>
          <w:szCs w:val="24"/>
        </w:rPr>
        <w:t xml:space="preserve">  See RFP Section 3.0 Note about offering alternative solutions.</w:t>
      </w:r>
    </w:p>
    <w:p w14:paraId="26BECE3B"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00FA8614"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Q.20 Section 4.0 – Backup Storage System</w:t>
      </w:r>
    </w:p>
    <w:p w14:paraId="25F65C2C" w14:textId="77777777" w:rsidR="00204AE2" w:rsidRDefault="00161193">
      <w:pPr>
        <w:widowControl w:val="0"/>
        <w:tabs>
          <w:tab w:val="left" w:pos="216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“IPMI support for all Login nodes with connection to the Gigabit Ethernet Management Network”.  Could NETL please explain this reference to Login nodes and how it relates to the Backup Storage System?</w:t>
      </w:r>
    </w:p>
    <w:p w14:paraId="773AD295"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26AD983A" w14:textId="77777777" w:rsidR="00204AE2" w:rsidRDefault="00161193">
      <w:pPr>
        <w:spacing w:after="0" w:line="240" w:lineRule="auto"/>
      </w:pPr>
      <w:r>
        <w:rPr>
          <w:rFonts w:ascii="Times New Roman" w:eastAsia="Calibri" w:hAnsi="Times New Roman" w:cs="Times New Roman"/>
          <w:b/>
          <w:color w:val="000000"/>
          <w:sz w:val="24"/>
          <w:szCs w:val="24"/>
        </w:rPr>
        <w:lastRenderedPageBreak/>
        <w:t xml:space="preserve">Response – </w:t>
      </w:r>
      <w:r w:rsidR="002C1896">
        <w:rPr>
          <w:rFonts w:ascii="Times New Roman" w:eastAsia="Calibri" w:hAnsi="Times New Roman" w:cs="Times New Roman"/>
          <w:b/>
          <w:color w:val="000000"/>
          <w:sz w:val="24"/>
          <w:szCs w:val="24"/>
        </w:rPr>
        <w:t>RFP Section 4.0, Required Items, second sub-bullet should read, “IPMI support is required for all backup servers”</w:t>
      </w:r>
      <w:r>
        <w:rPr>
          <w:rFonts w:ascii="Times New Roman" w:eastAsia="Calibri" w:hAnsi="Times New Roman" w:cs="Times New Roman"/>
          <w:b/>
          <w:color w:val="000000"/>
          <w:sz w:val="24"/>
          <w:szCs w:val="24"/>
        </w:rPr>
        <w:t>.</w:t>
      </w:r>
      <w:r w:rsidR="002C1896">
        <w:rPr>
          <w:rFonts w:ascii="Times New Roman" w:eastAsia="Calibri" w:hAnsi="Times New Roman" w:cs="Times New Roman"/>
          <w:b/>
          <w:color w:val="000000"/>
          <w:sz w:val="24"/>
          <w:szCs w:val="24"/>
        </w:rPr>
        <w:t xml:space="preserve">  Delete “IPMI support for all login nodes with connection to the Gigabit Ethernet management Network”.</w:t>
      </w:r>
    </w:p>
    <w:p w14:paraId="6CB5AF20"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110C5876"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Q.21 Section 4.0 – Backup Storage System - </w:t>
      </w:r>
      <w:r>
        <w:rPr>
          <w:rFonts w:ascii="Times New Roman" w:eastAsia="Calibri" w:hAnsi="Times New Roman" w:cs="Times New Roman"/>
          <w:sz w:val="24"/>
          <w:szCs w:val="24"/>
        </w:rPr>
        <w:t>“Backup storage will be located in B39 Datacenter”.  Does NETL have existing Maintenance and Access Network switches in B39 or will vendors be required to provide additional 10Gb and 1Gb switch options for B39?  If NETL has existing switches, please provide vendor, make/model, number of open ports, port type (QSFP, SFP, RJ45), etc.</w:t>
      </w:r>
    </w:p>
    <w:p w14:paraId="21AA67D5"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215E1C5D" w14:textId="77777777" w:rsidR="00204AE2" w:rsidRDefault="00161193">
      <w:pPr>
        <w:spacing w:after="0" w:line="240" w:lineRule="auto"/>
      </w:pPr>
      <w:r>
        <w:rPr>
          <w:rFonts w:ascii="Times New Roman" w:eastAsia="Calibri" w:hAnsi="Times New Roman" w:cs="Times New Roman"/>
          <w:b/>
          <w:color w:val="000000"/>
          <w:sz w:val="24"/>
          <w:szCs w:val="24"/>
        </w:rPr>
        <w:t xml:space="preserve">Response – </w:t>
      </w:r>
      <w:r w:rsidRPr="00685D57">
        <w:rPr>
          <w:rFonts w:ascii="Times New Roman" w:eastAsia="Calibri" w:hAnsi="Times New Roman" w:cs="Times New Roman"/>
          <w:b/>
          <w:color w:val="000000"/>
          <w:sz w:val="24"/>
          <w:szCs w:val="24"/>
        </w:rPr>
        <w:t>In-rack 10Gb switches must be provided with the Backup Sto</w:t>
      </w:r>
      <w:r w:rsidRPr="00685D57">
        <w:rPr>
          <w:rFonts w:ascii="Times New Roman" w:eastAsia="Calibri" w:hAnsi="Times New Roman" w:cs="Times New Roman"/>
          <w:b/>
          <w:bCs/>
          <w:color w:val="000000"/>
          <w:sz w:val="24"/>
          <w:szCs w:val="24"/>
        </w:rPr>
        <w:t>rage System r</w:t>
      </w:r>
      <w:r w:rsidRPr="00685D57">
        <w:rPr>
          <w:rFonts w:ascii="Times New Roman" w:hAnsi="Times New Roman"/>
          <w:b/>
          <w:bCs/>
          <w:sz w:val="24"/>
          <w:szCs w:val="24"/>
        </w:rPr>
        <w:t>acks.  NETL has campus connectivity in place to link the B39 Datacenter to the MDC. SFP connectors are preferred.</w:t>
      </w:r>
    </w:p>
    <w:p w14:paraId="3272E84A" w14:textId="77777777" w:rsidR="00204AE2" w:rsidRDefault="00204AE2">
      <w:pPr>
        <w:widowControl w:val="0"/>
        <w:tabs>
          <w:tab w:val="left" w:pos="1800"/>
        </w:tabs>
        <w:suppressAutoHyphens/>
        <w:spacing w:after="0" w:line="240" w:lineRule="auto"/>
        <w:rPr>
          <w:rFonts w:ascii="Times New Roman" w:eastAsia="Calibri" w:hAnsi="Times New Roman" w:cs="Times New Roman"/>
          <w:sz w:val="24"/>
          <w:szCs w:val="24"/>
        </w:rPr>
      </w:pPr>
    </w:p>
    <w:p w14:paraId="7D4623D0"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Q.22 Section 5.0 – Warranty/Maintenance</w:t>
      </w:r>
    </w:p>
    <w:p w14:paraId="06D8E6F7"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States “…with part replacement provided by the contractor” – Does this mean NETL requires the contractor to come on site and perform parts replacement OR just provide the replacement parts and NETL staff will install?</w:t>
      </w:r>
    </w:p>
    <w:p w14:paraId="4A2143B5" w14:textId="77777777" w:rsidR="00204AE2" w:rsidRDefault="00204AE2">
      <w:pPr>
        <w:spacing w:after="0" w:line="240" w:lineRule="auto"/>
        <w:rPr>
          <w:rFonts w:ascii="Times New Roman" w:eastAsia="Calibri" w:hAnsi="Times New Roman" w:cs="Times New Roman"/>
          <w:color w:val="000000"/>
          <w:sz w:val="24"/>
          <w:szCs w:val="24"/>
        </w:rPr>
      </w:pPr>
    </w:p>
    <w:p w14:paraId="792F5682" w14:textId="77777777" w:rsidR="00204AE2" w:rsidRDefault="0016119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Response</w:t>
      </w:r>
      <w:r w:rsidR="006000C8">
        <w:rPr>
          <w:rFonts w:ascii="Times New Roman" w:eastAsia="Calibri" w:hAnsi="Times New Roman" w:cs="Times New Roman"/>
          <w:b/>
          <w:color w:val="000000"/>
          <w:sz w:val="24"/>
          <w:szCs w:val="24"/>
        </w:rPr>
        <w:t xml:space="preserve"> – NETL requires that the contractor provide the replacement parts.  NETL staff will install.</w:t>
      </w:r>
    </w:p>
    <w:p w14:paraId="2816BEAD" w14:textId="77777777" w:rsidR="00204AE2" w:rsidRDefault="00204AE2">
      <w:pPr>
        <w:spacing w:after="0" w:line="240" w:lineRule="auto"/>
        <w:rPr>
          <w:rFonts w:ascii="Times New Roman" w:eastAsia="Calibri" w:hAnsi="Times New Roman" w:cs="Times New Roman"/>
          <w:color w:val="000000"/>
          <w:sz w:val="24"/>
          <w:szCs w:val="24"/>
        </w:rPr>
      </w:pPr>
    </w:p>
    <w:p w14:paraId="0B9DB9A9"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Q.23 Connectivity to existing NETL Network</w:t>
      </w:r>
    </w:p>
    <w:p w14:paraId="3CE82E75"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Please provide detail on NETL’s existing Core and TOR Compute, Access and Mgmt network switches (vendor, make/model, speed, port type (QSFP, SFP, RJ45), number of open ports, etc.</w:t>
      </w:r>
    </w:p>
    <w:p w14:paraId="324B22D6" w14:textId="77777777" w:rsidR="00204AE2" w:rsidRDefault="00204AE2">
      <w:pPr>
        <w:spacing w:after="0" w:line="240" w:lineRule="auto"/>
        <w:rPr>
          <w:rFonts w:ascii="Times New Roman" w:eastAsia="Calibri" w:hAnsi="Times New Roman" w:cs="Times New Roman"/>
          <w:color w:val="000000"/>
          <w:sz w:val="24"/>
          <w:szCs w:val="24"/>
        </w:rPr>
      </w:pPr>
    </w:p>
    <w:p w14:paraId="0784278A" w14:textId="77777777" w:rsidR="00204AE2" w:rsidRDefault="00161193">
      <w:pPr>
        <w:spacing w:after="0" w:line="240" w:lineRule="auto"/>
      </w:pPr>
      <w:r>
        <w:rPr>
          <w:rFonts w:ascii="Times New Roman" w:eastAsia="Calibri" w:hAnsi="Times New Roman" w:cs="Times New Roman"/>
          <w:b/>
          <w:color w:val="000000"/>
          <w:sz w:val="24"/>
          <w:szCs w:val="24"/>
        </w:rPr>
        <w:t>Response – All existing switches and network infrastructure in the existing HPC system will be retired and appropriate replacements must be provided as part of this solicitation.</w:t>
      </w:r>
    </w:p>
    <w:p w14:paraId="73ED8AA8" w14:textId="77777777" w:rsidR="00204AE2" w:rsidRDefault="00204AE2">
      <w:pPr>
        <w:spacing w:after="0" w:line="240" w:lineRule="auto"/>
        <w:rPr>
          <w:rFonts w:ascii="Times New Roman" w:eastAsia="Calibri" w:hAnsi="Times New Roman" w:cs="Times New Roman"/>
          <w:color w:val="000000"/>
          <w:sz w:val="24"/>
          <w:szCs w:val="24"/>
        </w:rPr>
      </w:pPr>
    </w:p>
    <w:p w14:paraId="7AED51B4"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Q.24 RFP Instructions – L.6.C SF33 Form</w:t>
      </w:r>
    </w:p>
    <w:p w14:paraId="7D645E33"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Will NETL be posting the SF33 form to the SEWP site?</w:t>
      </w:r>
    </w:p>
    <w:p w14:paraId="0E7EB574" w14:textId="77777777" w:rsidR="00204AE2" w:rsidRDefault="00204AE2">
      <w:pPr>
        <w:spacing w:after="0" w:line="240" w:lineRule="auto"/>
        <w:rPr>
          <w:rFonts w:ascii="Times New Roman" w:eastAsia="Calibri" w:hAnsi="Times New Roman" w:cs="Times New Roman"/>
          <w:color w:val="000000"/>
          <w:sz w:val="24"/>
          <w:szCs w:val="24"/>
        </w:rPr>
      </w:pPr>
    </w:p>
    <w:p w14:paraId="2E03DE69" w14:textId="77777777"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3A5AC0" w:rsidRPr="00D617CE">
        <w:rPr>
          <w:rFonts w:ascii="Times New Roman" w:eastAsia="Calibri" w:hAnsi="Times New Roman" w:cs="Times New Roman"/>
          <w:b/>
          <w:color w:val="000000"/>
          <w:sz w:val="24"/>
          <w:szCs w:val="24"/>
        </w:rPr>
        <w:t xml:space="preserve"> Yes</w:t>
      </w:r>
    </w:p>
    <w:p w14:paraId="65782F9E" w14:textId="77777777" w:rsidR="00204AE2" w:rsidRDefault="00204AE2">
      <w:pPr>
        <w:spacing w:after="0" w:line="240" w:lineRule="auto"/>
        <w:rPr>
          <w:rFonts w:ascii="Times New Roman" w:eastAsia="Calibri" w:hAnsi="Times New Roman" w:cs="Times New Roman"/>
          <w:color w:val="000000"/>
          <w:sz w:val="24"/>
          <w:szCs w:val="24"/>
        </w:rPr>
      </w:pPr>
    </w:p>
    <w:p w14:paraId="4EC7B98F"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Q.25 Section 6.0 CLIN4- Prefabricated Data Center/Modular Data Center Infrastructure</w:t>
      </w:r>
      <w:r>
        <w:rPr>
          <w:rFonts w:ascii="Times New Roman" w:eastAsia="Calibri" w:hAnsi="Times New Roman" w:cs="Times New Roman"/>
          <w:b/>
          <w:sz w:val="24"/>
          <w:szCs w:val="24"/>
        </w:rPr>
        <w:br/>
      </w:r>
      <w:r>
        <w:rPr>
          <w:rFonts w:ascii="Times New Roman" w:eastAsia="Calibri" w:hAnsi="Times New Roman" w:cs="Times New Roman"/>
          <w:sz w:val="24"/>
          <w:szCs w:val="24"/>
        </w:rPr>
        <w:br/>
        <w:t>For both re-use and replacement:</w:t>
      </w:r>
      <w:r>
        <w:rPr>
          <w:rFonts w:ascii="Times New Roman" w:eastAsia="Calibri" w:hAnsi="Times New Roman" w:cs="Times New Roman"/>
          <w:sz w:val="24"/>
          <w:szCs w:val="24"/>
        </w:rPr>
        <w:br/>
      </w:r>
      <w:r>
        <w:rPr>
          <w:rFonts w:ascii="Times New Roman" w:eastAsia="Calibri" w:hAnsi="Times New Roman" w:cs="Times New Roman"/>
          <w:sz w:val="24"/>
          <w:szCs w:val="24"/>
        </w:rPr>
        <w:br/>
        <w:t>- Expected capacity growth for 3, 5 and 10 years (or next point of IT equipment obsolescence)?</w:t>
      </w:r>
    </w:p>
    <w:p w14:paraId="5F2671C6" w14:textId="77777777" w:rsidR="00E26149" w:rsidRDefault="00E26149">
      <w:pPr>
        <w:spacing w:after="0" w:line="240" w:lineRule="auto"/>
        <w:rPr>
          <w:rFonts w:ascii="Times New Roman" w:eastAsia="Calibri" w:hAnsi="Times New Roman" w:cs="Times New Roman"/>
          <w:sz w:val="24"/>
          <w:szCs w:val="24"/>
        </w:rPr>
      </w:pPr>
    </w:p>
    <w:p w14:paraId="60E79610" w14:textId="77777777" w:rsidR="00E26149" w:rsidRPr="00E26149" w:rsidRDefault="00E26149">
      <w:pPr>
        <w:spacing w:after="0" w:line="240" w:lineRule="auto"/>
        <w:rPr>
          <w:rFonts w:ascii="Times New Roman" w:eastAsia="Calibri" w:hAnsi="Times New Roman" w:cs="Times New Roman"/>
          <w:b/>
          <w:sz w:val="24"/>
          <w:szCs w:val="24"/>
        </w:rPr>
      </w:pPr>
      <w:r w:rsidRPr="00E26149">
        <w:rPr>
          <w:rFonts w:ascii="Times New Roman" w:eastAsia="Calibri" w:hAnsi="Times New Roman" w:cs="Times New Roman"/>
          <w:b/>
          <w:sz w:val="24"/>
          <w:szCs w:val="24"/>
        </w:rPr>
        <w:t>Response – Not germane to this solicitation</w:t>
      </w:r>
    </w:p>
    <w:p w14:paraId="2F74DB8D" w14:textId="77777777" w:rsidR="00204AE2" w:rsidRDefault="00204AE2">
      <w:pPr>
        <w:spacing w:after="0" w:line="240" w:lineRule="auto"/>
        <w:rPr>
          <w:rFonts w:ascii="Times New Roman" w:eastAsia="Calibri" w:hAnsi="Times New Roman" w:cs="Times New Roman"/>
          <w:sz w:val="24"/>
          <w:szCs w:val="24"/>
        </w:rPr>
      </w:pPr>
    </w:p>
    <w:p w14:paraId="31176DBD"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Expected life span of the existing PDC/MDC?</w:t>
      </w:r>
    </w:p>
    <w:p w14:paraId="6AD9CA5E" w14:textId="77777777" w:rsidR="00E26149" w:rsidRDefault="00E26149">
      <w:pPr>
        <w:spacing w:after="0" w:line="240" w:lineRule="auto"/>
        <w:rPr>
          <w:rFonts w:ascii="Times New Roman" w:eastAsia="Calibri" w:hAnsi="Times New Roman" w:cs="Times New Roman"/>
          <w:sz w:val="24"/>
          <w:szCs w:val="24"/>
        </w:rPr>
      </w:pPr>
    </w:p>
    <w:p w14:paraId="403568C4" w14:textId="77777777" w:rsidR="00E26149" w:rsidRPr="00E26149" w:rsidRDefault="00E26149" w:rsidP="00E26149">
      <w:pPr>
        <w:spacing w:after="0" w:line="240" w:lineRule="auto"/>
        <w:rPr>
          <w:rFonts w:ascii="Times New Roman" w:eastAsia="Calibri"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See </w:t>
      </w:r>
      <w:r w:rsidR="005B5E3E">
        <w:rPr>
          <w:rFonts w:ascii="Times New Roman" w:eastAsia="Calibri" w:hAnsi="Times New Roman" w:cs="Times New Roman"/>
          <w:b/>
          <w:sz w:val="24"/>
          <w:szCs w:val="24"/>
        </w:rPr>
        <w:t xml:space="preserve">RFP </w:t>
      </w:r>
      <w:r>
        <w:rPr>
          <w:rFonts w:ascii="Times New Roman" w:eastAsia="Calibri" w:hAnsi="Times New Roman" w:cs="Times New Roman"/>
          <w:b/>
          <w:sz w:val="24"/>
          <w:szCs w:val="24"/>
        </w:rPr>
        <w:t>Section 3.12</w:t>
      </w:r>
    </w:p>
    <w:p w14:paraId="5C010157" w14:textId="77777777" w:rsidR="00E26149" w:rsidRDefault="00E26149">
      <w:pPr>
        <w:spacing w:after="0" w:line="240" w:lineRule="auto"/>
        <w:rPr>
          <w:rFonts w:ascii="Times New Roman" w:eastAsia="Calibri" w:hAnsi="Times New Roman" w:cs="Times New Roman"/>
          <w:sz w:val="24"/>
          <w:szCs w:val="24"/>
        </w:rPr>
      </w:pPr>
    </w:p>
    <w:p w14:paraId="2D9D5427"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 How will cutover be handled if PDC/MDC is replaced?  What is are the allowable downtime window(s)?</w:t>
      </w:r>
    </w:p>
    <w:p w14:paraId="07B22514" w14:textId="77777777" w:rsidR="00E26149" w:rsidRDefault="00E26149">
      <w:pPr>
        <w:spacing w:after="0" w:line="240" w:lineRule="auto"/>
        <w:rPr>
          <w:rFonts w:ascii="Times New Roman" w:eastAsia="Calibri" w:hAnsi="Times New Roman" w:cs="Times New Roman"/>
          <w:sz w:val="24"/>
          <w:szCs w:val="24"/>
        </w:rPr>
      </w:pPr>
    </w:p>
    <w:p w14:paraId="584519A0" w14:textId="77777777" w:rsidR="00E26149" w:rsidRPr="00E26149" w:rsidRDefault="00E26149" w:rsidP="00E26149">
      <w:pPr>
        <w:spacing w:after="0" w:line="240" w:lineRule="auto"/>
        <w:rPr>
          <w:rFonts w:ascii="Times New Roman" w:eastAsia="Calibri"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See </w:t>
      </w:r>
      <w:r w:rsidR="005B5E3E">
        <w:rPr>
          <w:rFonts w:ascii="Times New Roman" w:eastAsia="Calibri" w:hAnsi="Times New Roman" w:cs="Times New Roman"/>
          <w:b/>
          <w:sz w:val="24"/>
          <w:szCs w:val="24"/>
        </w:rPr>
        <w:t xml:space="preserve">RFP </w:t>
      </w:r>
      <w:r>
        <w:rPr>
          <w:rFonts w:ascii="Times New Roman" w:eastAsia="Calibri" w:hAnsi="Times New Roman" w:cs="Times New Roman"/>
          <w:b/>
          <w:sz w:val="24"/>
          <w:szCs w:val="24"/>
        </w:rPr>
        <w:t xml:space="preserve">Section 1.0 and Section 11.1, Transition Plan </w:t>
      </w:r>
    </w:p>
    <w:p w14:paraId="6DF4F327" w14:textId="77777777" w:rsidR="00E26149" w:rsidRDefault="00E26149">
      <w:pPr>
        <w:spacing w:after="0" w:line="240" w:lineRule="auto"/>
        <w:rPr>
          <w:rFonts w:ascii="Times New Roman" w:eastAsia="Calibri" w:hAnsi="Times New Roman" w:cs="Times New Roman"/>
          <w:sz w:val="24"/>
          <w:szCs w:val="24"/>
        </w:rPr>
      </w:pPr>
    </w:p>
    <w:p w14:paraId="69210BD0"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Who will provide electrical contracting work for on-site improvements for either re-use/replace   scenario?  Must electrical work be performed by NETL staff/contractor or should this be included in our proposal?</w:t>
      </w:r>
    </w:p>
    <w:p w14:paraId="33CF1317" w14:textId="77777777" w:rsidR="00165CC0" w:rsidRDefault="00165CC0">
      <w:pPr>
        <w:spacing w:after="0" w:line="240" w:lineRule="auto"/>
        <w:rPr>
          <w:rFonts w:ascii="Times New Roman" w:eastAsia="Calibri" w:hAnsi="Times New Roman" w:cs="Times New Roman"/>
          <w:sz w:val="24"/>
          <w:szCs w:val="24"/>
        </w:rPr>
      </w:pPr>
    </w:p>
    <w:p w14:paraId="2A1C1BBE" w14:textId="77777777" w:rsidR="00436C8C" w:rsidRPr="00E26149" w:rsidRDefault="00436C8C" w:rsidP="00436C8C">
      <w:pPr>
        <w:spacing w:after="0" w:line="240" w:lineRule="auto"/>
        <w:rPr>
          <w:rFonts w:ascii="Times New Roman" w:eastAsia="Calibri" w:hAnsi="Times New Roman" w:cs="Times New Roman"/>
          <w:b/>
          <w:sz w:val="24"/>
          <w:szCs w:val="24"/>
        </w:rPr>
      </w:pPr>
      <w:r w:rsidRPr="00E26149">
        <w:rPr>
          <w:rFonts w:ascii="Times New Roman" w:eastAsia="Calibri" w:hAnsi="Times New Roman" w:cs="Times New Roman"/>
          <w:b/>
          <w:sz w:val="24"/>
          <w:szCs w:val="24"/>
        </w:rPr>
        <w:t xml:space="preserve">Response – </w:t>
      </w:r>
      <w:r w:rsidR="00CA1952">
        <w:rPr>
          <w:rFonts w:ascii="Times New Roman" w:eastAsia="Calibri" w:hAnsi="Times New Roman" w:cs="Times New Roman"/>
          <w:b/>
          <w:sz w:val="24"/>
          <w:szCs w:val="24"/>
        </w:rPr>
        <w:t>Contractor is responsible for electrical contracting work and should be included in the proposal</w:t>
      </w:r>
      <w:r>
        <w:rPr>
          <w:rFonts w:ascii="Times New Roman" w:eastAsia="Calibri" w:hAnsi="Times New Roman" w:cs="Times New Roman"/>
          <w:b/>
          <w:sz w:val="24"/>
          <w:szCs w:val="24"/>
        </w:rPr>
        <w:t xml:space="preserve"> </w:t>
      </w:r>
    </w:p>
    <w:p w14:paraId="13611F51" w14:textId="77777777" w:rsidR="00165CC0" w:rsidRDefault="00165CC0">
      <w:pPr>
        <w:spacing w:after="0" w:line="240" w:lineRule="auto"/>
        <w:rPr>
          <w:rFonts w:ascii="Times New Roman" w:eastAsia="Calibri" w:hAnsi="Times New Roman" w:cs="Times New Roman"/>
          <w:sz w:val="24"/>
          <w:szCs w:val="24"/>
        </w:rPr>
      </w:pPr>
    </w:p>
    <w:p w14:paraId="0FFB315B"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For electrical and mechanical re-use- what components will be reused?  Replaced?</w:t>
      </w:r>
    </w:p>
    <w:p w14:paraId="32A13C1D" w14:textId="77777777" w:rsidR="00CA1952" w:rsidRDefault="00CA1952">
      <w:pPr>
        <w:spacing w:after="0" w:line="240" w:lineRule="auto"/>
        <w:rPr>
          <w:rFonts w:ascii="Times New Roman" w:eastAsia="Calibri" w:hAnsi="Times New Roman" w:cs="Times New Roman"/>
          <w:sz w:val="24"/>
          <w:szCs w:val="24"/>
        </w:rPr>
      </w:pPr>
    </w:p>
    <w:p w14:paraId="6E8BE605" w14:textId="77777777" w:rsidR="00AE2BFB" w:rsidRDefault="00CA1952"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sidR="00AE2BFB">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4" w:history="1">
        <w:r w:rsidR="0033305B" w:rsidRPr="00AE1554">
          <w:rPr>
            <w:rStyle w:val="Hyperlink"/>
            <w:rFonts w:ascii="Times New Roman" w:hAnsi="Times New Roman" w:cs="Times New Roman"/>
            <w:sz w:val="24"/>
            <w:szCs w:val="24"/>
          </w:rPr>
          <w:t>http://netl.doe.gov/business/site-support/de-sol-0011826</w:t>
        </w:r>
      </w:hyperlink>
      <w:r w:rsidR="00AE2BFB">
        <w:rPr>
          <w:rFonts w:ascii="Times New Roman" w:hAnsi="Times New Roman" w:cs="Times New Roman"/>
          <w:b/>
          <w:sz w:val="24"/>
          <w:szCs w:val="24"/>
        </w:rPr>
        <w:t>.</w:t>
      </w:r>
    </w:p>
    <w:p w14:paraId="08044495"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Existing space allocated for power, cooling and IT enclosures – During the walk-through, we noticed there were approximately 8 empty racks.  Will these racks be available for this refresh project or can they be removed to make room during the installation/migration?  How much additional open floor space can be used for this project?  If they can be repurposed for this project, please provide the vendor, make/model, PDU type, etc.</w:t>
      </w:r>
    </w:p>
    <w:p w14:paraId="26C7B7DC" w14:textId="77777777" w:rsidR="00436C8C" w:rsidRDefault="00436C8C">
      <w:pPr>
        <w:spacing w:after="0" w:line="240" w:lineRule="auto"/>
        <w:rPr>
          <w:rFonts w:ascii="Times New Roman" w:eastAsia="Calibri" w:hAnsi="Times New Roman" w:cs="Times New Roman"/>
          <w:sz w:val="24"/>
          <w:szCs w:val="24"/>
        </w:rPr>
      </w:pPr>
    </w:p>
    <w:p w14:paraId="56E54172"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5"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340C9A0A"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Does NETL require monitoring/work/control environment, air lock between exterior/interior of CIM?</w:t>
      </w:r>
    </w:p>
    <w:p w14:paraId="627E537D" w14:textId="77777777" w:rsidR="00AE2BFB" w:rsidRDefault="00AE2BFB">
      <w:pPr>
        <w:spacing w:after="0" w:line="240" w:lineRule="auto"/>
        <w:rPr>
          <w:rFonts w:ascii="Times New Roman" w:eastAsia="Calibri" w:hAnsi="Times New Roman" w:cs="Times New Roman"/>
          <w:sz w:val="24"/>
          <w:szCs w:val="24"/>
        </w:rPr>
      </w:pPr>
    </w:p>
    <w:p w14:paraId="2355C4CB"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6"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2C6B662E"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Are there other empty racks enclosures available for this project?  Please provide vendor, make/model, size, dimensions, U space?</w:t>
      </w:r>
    </w:p>
    <w:p w14:paraId="2F3BC2A9" w14:textId="77777777" w:rsidR="00AE2BFB" w:rsidRDefault="00AE2BFB">
      <w:pPr>
        <w:spacing w:after="0" w:line="240" w:lineRule="auto"/>
        <w:rPr>
          <w:rFonts w:ascii="Times New Roman" w:eastAsia="Calibri" w:hAnsi="Times New Roman" w:cs="Times New Roman"/>
          <w:sz w:val="24"/>
          <w:szCs w:val="24"/>
        </w:rPr>
      </w:pPr>
    </w:p>
    <w:p w14:paraId="22A79FF8"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7"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13B0A704"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Does NETL wish to stay with 415Y/230V 3P power?</w:t>
      </w:r>
    </w:p>
    <w:p w14:paraId="7B040796" w14:textId="77777777" w:rsidR="00AE2BFB" w:rsidRDefault="00AE2BFB">
      <w:pPr>
        <w:spacing w:after="0" w:line="240" w:lineRule="auto"/>
        <w:rPr>
          <w:rFonts w:ascii="Times New Roman" w:eastAsia="Calibri" w:hAnsi="Times New Roman" w:cs="Times New Roman"/>
          <w:sz w:val="24"/>
          <w:szCs w:val="24"/>
        </w:rPr>
      </w:pPr>
    </w:p>
    <w:p w14:paraId="64A3FC1A"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lastRenderedPageBreak/>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8"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020B5FF8"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How much total power required currently?  Future state?</w:t>
      </w:r>
    </w:p>
    <w:p w14:paraId="096D5D80" w14:textId="77777777" w:rsidR="00AE2BFB" w:rsidRDefault="00AE2BFB" w:rsidP="00AE2BFB">
      <w:pPr>
        <w:spacing w:after="0" w:line="240" w:lineRule="auto"/>
        <w:rPr>
          <w:rFonts w:ascii="Times New Roman" w:eastAsia="Calibri" w:hAnsi="Times New Roman" w:cs="Times New Roman"/>
          <w:b/>
          <w:sz w:val="24"/>
          <w:szCs w:val="24"/>
        </w:rPr>
      </w:pPr>
    </w:p>
    <w:p w14:paraId="43A8B804"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9"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3AA84AFC"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Back up runtime required?  Currently?  Future state?</w:t>
      </w:r>
    </w:p>
    <w:p w14:paraId="6551726C" w14:textId="77777777" w:rsidR="00AE2BFB" w:rsidRDefault="00161193" w:rsidP="00AE2BFB">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br/>
      </w:r>
      <w:r w:rsidR="00AE2BFB" w:rsidRPr="00E26149">
        <w:rPr>
          <w:rFonts w:ascii="Times New Roman" w:eastAsia="Calibri" w:hAnsi="Times New Roman" w:cs="Times New Roman"/>
          <w:b/>
          <w:sz w:val="24"/>
          <w:szCs w:val="24"/>
        </w:rPr>
        <w:t xml:space="preserve">Response – </w:t>
      </w:r>
      <w:r w:rsidR="00AE2BFB">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0" w:history="1">
        <w:r w:rsidR="00AE2BFB" w:rsidRPr="00AE1554">
          <w:rPr>
            <w:rStyle w:val="Hyperlink"/>
            <w:rFonts w:ascii="Times New Roman" w:hAnsi="Times New Roman" w:cs="Times New Roman"/>
            <w:sz w:val="24"/>
            <w:szCs w:val="24"/>
          </w:rPr>
          <w:t>http://netl.doe.gov/business/site-support/de-sol-0011826</w:t>
        </w:r>
      </w:hyperlink>
      <w:r w:rsidR="00AE2BFB">
        <w:rPr>
          <w:rFonts w:ascii="Times New Roman" w:hAnsi="Times New Roman" w:cs="Times New Roman"/>
          <w:b/>
          <w:sz w:val="24"/>
          <w:szCs w:val="24"/>
        </w:rPr>
        <w:t>.</w:t>
      </w:r>
    </w:p>
    <w:p w14:paraId="009F8104" w14:textId="77777777" w:rsidR="00AE2BFB" w:rsidRDefault="00AE2BFB" w:rsidP="00AE2BFB">
      <w:pPr>
        <w:spacing w:after="0" w:line="240" w:lineRule="auto"/>
        <w:rPr>
          <w:rFonts w:ascii="Times New Roman" w:eastAsia="Calibri" w:hAnsi="Times New Roman" w:cs="Times New Roman"/>
          <w:sz w:val="24"/>
          <w:szCs w:val="24"/>
        </w:rPr>
      </w:pPr>
    </w:p>
    <w:p w14:paraId="02251986"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Battery type required?  VRLA?</w:t>
      </w:r>
    </w:p>
    <w:p w14:paraId="6450DD74" w14:textId="77777777" w:rsidR="00AE2BFB" w:rsidRDefault="00161193" w:rsidP="00AE2BFB">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br/>
      </w:r>
      <w:r w:rsidR="00AE2BFB" w:rsidRPr="00E26149">
        <w:rPr>
          <w:rFonts w:ascii="Times New Roman" w:eastAsia="Calibri" w:hAnsi="Times New Roman" w:cs="Times New Roman"/>
          <w:b/>
          <w:sz w:val="24"/>
          <w:szCs w:val="24"/>
        </w:rPr>
        <w:t xml:space="preserve">Response – </w:t>
      </w:r>
      <w:r w:rsidR="00AE2BFB">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1" w:history="1">
        <w:r w:rsidR="00AE2BFB" w:rsidRPr="00AE1554">
          <w:rPr>
            <w:rStyle w:val="Hyperlink"/>
            <w:rFonts w:ascii="Times New Roman" w:hAnsi="Times New Roman" w:cs="Times New Roman"/>
            <w:sz w:val="24"/>
            <w:szCs w:val="24"/>
          </w:rPr>
          <w:t>http://netl.doe.gov/business/site-support/de-sol-0011826</w:t>
        </w:r>
      </w:hyperlink>
      <w:r w:rsidR="00AE2BFB">
        <w:rPr>
          <w:rFonts w:ascii="Times New Roman" w:hAnsi="Times New Roman" w:cs="Times New Roman"/>
          <w:b/>
          <w:sz w:val="24"/>
          <w:szCs w:val="24"/>
        </w:rPr>
        <w:t>.</w:t>
      </w:r>
    </w:p>
    <w:p w14:paraId="0D4CA430" w14:textId="77777777" w:rsidR="00AE2BFB" w:rsidRDefault="00AE2BFB" w:rsidP="00AE2BFB">
      <w:pPr>
        <w:spacing w:after="0" w:line="240" w:lineRule="auto"/>
        <w:rPr>
          <w:rFonts w:ascii="Times New Roman" w:eastAsia="Calibri" w:hAnsi="Times New Roman" w:cs="Times New Roman"/>
          <w:sz w:val="24"/>
          <w:szCs w:val="24"/>
        </w:rPr>
      </w:pPr>
    </w:p>
    <w:p w14:paraId="50438606"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Redundancy?  Current and future state? A/B power distribution, N, 2N, N+1 needed?</w:t>
      </w:r>
    </w:p>
    <w:p w14:paraId="4979840C" w14:textId="77777777" w:rsidR="00AE2BFB" w:rsidRDefault="00AE2BFB" w:rsidP="00AE2BFB">
      <w:pPr>
        <w:spacing w:after="0" w:line="240" w:lineRule="auto"/>
        <w:rPr>
          <w:rFonts w:ascii="Times New Roman" w:eastAsia="Calibri" w:hAnsi="Times New Roman" w:cs="Times New Roman"/>
          <w:sz w:val="24"/>
          <w:szCs w:val="24"/>
        </w:rPr>
      </w:pPr>
    </w:p>
    <w:p w14:paraId="55CBA177"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2"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7FFE3BA7"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How much power, phases, voltage, amperage is available per rack?  Current/Future state?</w:t>
      </w:r>
    </w:p>
    <w:p w14:paraId="5743654F" w14:textId="77777777" w:rsidR="00AE2BFB" w:rsidRDefault="00AE2BFB" w:rsidP="00AE2BFB">
      <w:pPr>
        <w:spacing w:after="0" w:line="240" w:lineRule="auto"/>
        <w:rPr>
          <w:rFonts w:ascii="Times New Roman" w:eastAsia="Calibri" w:hAnsi="Times New Roman" w:cs="Times New Roman"/>
          <w:sz w:val="24"/>
          <w:szCs w:val="24"/>
        </w:rPr>
      </w:pPr>
    </w:p>
    <w:p w14:paraId="4F927A6A"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3"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416F11DE"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How will power be distributed within the rack?</w:t>
      </w:r>
    </w:p>
    <w:p w14:paraId="5D0D57ED" w14:textId="77777777" w:rsidR="00AE2BFB" w:rsidRDefault="00AE2BFB" w:rsidP="00AE2BFB">
      <w:pPr>
        <w:spacing w:after="0" w:line="240" w:lineRule="auto"/>
        <w:rPr>
          <w:rFonts w:ascii="Times New Roman" w:eastAsia="Calibri" w:hAnsi="Times New Roman" w:cs="Times New Roman"/>
          <w:sz w:val="24"/>
          <w:szCs w:val="24"/>
        </w:rPr>
      </w:pPr>
    </w:p>
    <w:p w14:paraId="63F2F69D"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4"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7AEBC4DD"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ePDU's and ratings required, number and type of plug/receptacles?</w:t>
      </w:r>
    </w:p>
    <w:p w14:paraId="41EC5EB3" w14:textId="77777777" w:rsidR="00AE2BFB" w:rsidRDefault="00AE2BFB" w:rsidP="00AE2BFB">
      <w:pPr>
        <w:spacing w:after="0" w:line="240" w:lineRule="auto"/>
        <w:rPr>
          <w:rFonts w:ascii="Times New Roman" w:eastAsia="Calibri" w:hAnsi="Times New Roman" w:cs="Times New Roman"/>
          <w:sz w:val="24"/>
          <w:szCs w:val="24"/>
        </w:rPr>
      </w:pPr>
    </w:p>
    <w:p w14:paraId="23F9E227"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5"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4465C5F0"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 Single or double corded power supplies?  Rack mounted EATS required?</w:t>
      </w:r>
    </w:p>
    <w:p w14:paraId="0F6764E1" w14:textId="77777777" w:rsidR="00AE2BFB" w:rsidRDefault="00AE2BFB" w:rsidP="00AE2BFB">
      <w:pPr>
        <w:spacing w:after="0" w:line="240" w:lineRule="auto"/>
        <w:rPr>
          <w:rFonts w:ascii="Times New Roman" w:eastAsia="Calibri" w:hAnsi="Times New Roman" w:cs="Times New Roman"/>
          <w:sz w:val="24"/>
          <w:szCs w:val="24"/>
        </w:rPr>
      </w:pPr>
    </w:p>
    <w:p w14:paraId="0C95B34E"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6"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660C6737" w14:textId="77777777" w:rsidR="00AE2BFB" w:rsidRDefault="00161193" w:rsidP="00AE2B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Cooling and environmental considerations required?  Type?  Specification.</w:t>
      </w:r>
      <w:r>
        <w:rPr>
          <w:rFonts w:ascii="Times New Roman" w:eastAsia="Calibri" w:hAnsi="Times New Roman" w:cs="Times New Roman"/>
          <w:sz w:val="24"/>
          <w:szCs w:val="24"/>
        </w:rPr>
        <w:br/>
      </w:r>
    </w:p>
    <w:p w14:paraId="04E08572"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7"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346C1F6F" w14:textId="77777777" w:rsidR="00204AE2" w:rsidRDefault="00204AE2">
      <w:pPr>
        <w:spacing w:after="0" w:line="240" w:lineRule="auto"/>
        <w:rPr>
          <w:rFonts w:ascii="Times New Roman" w:eastAsia="Calibri" w:hAnsi="Times New Roman" w:cs="Times New Roman"/>
          <w:sz w:val="24"/>
          <w:szCs w:val="24"/>
        </w:rPr>
      </w:pPr>
    </w:p>
    <w:p w14:paraId="32FEC7EE"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Ambient and high/low temperature</w:t>
      </w:r>
    </w:p>
    <w:p w14:paraId="7348D0CC" w14:textId="77777777" w:rsidR="00AE2BFB" w:rsidRDefault="00AE2BFB" w:rsidP="00AE2BFB">
      <w:pPr>
        <w:spacing w:after="0" w:line="240" w:lineRule="auto"/>
        <w:rPr>
          <w:rFonts w:ascii="Times New Roman" w:eastAsia="Calibri" w:hAnsi="Times New Roman" w:cs="Times New Roman"/>
          <w:sz w:val="24"/>
          <w:szCs w:val="24"/>
        </w:rPr>
      </w:pPr>
    </w:p>
    <w:p w14:paraId="4B7F0C0F"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8"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63FE6F4B"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Computing environment operating temperature</w:t>
      </w:r>
    </w:p>
    <w:p w14:paraId="330073E7" w14:textId="77777777" w:rsidR="00AE2BFB" w:rsidRDefault="00AE2BFB" w:rsidP="00AE2BFB">
      <w:pPr>
        <w:spacing w:after="0" w:line="240" w:lineRule="auto"/>
        <w:rPr>
          <w:rFonts w:ascii="Times New Roman" w:eastAsia="Calibri" w:hAnsi="Times New Roman" w:cs="Times New Roman"/>
          <w:sz w:val="24"/>
          <w:szCs w:val="24"/>
        </w:rPr>
      </w:pPr>
    </w:p>
    <w:p w14:paraId="336B2EB9"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19"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31EC45D3"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Cooling BTU/KW currently being used?  Under or over sized?</w:t>
      </w:r>
    </w:p>
    <w:p w14:paraId="503F8897" w14:textId="77777777" w:rsidR="00AE2BFB" w:rsidRDefault="00AE2BFB" w:rsidP="00AE2BFB">
      <w:pPr>
        <w:spacing w:after="0" w:line="240" w:lineRule="auto"/>
        <w:rPr>
          <w:rFonts w:ascii="Times New Roman" w:eastAsia="Calibri" w:hAnsi="Times New Roman" w:cs="Times New Roman"/>
          <w:sz w:val="24"/>
          <w:szCs w:val="24"/>
        </w:rPr>
      </w:pPr>
    </w:p>
    <w:p w14:paraId="3067FA00"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0"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1FEE901E"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Security and access control required inside and outside?</w:t>
      </w:r>
    </w:p>
    <w:p w14:paraId="1E1B98A1" w14:textId="77777777" w:rsidR="00AE2BFB" w:rsidRDefault="00AE2BFB" w:rsidP="00AE2BFB">
      <w:pPr>
        <w:spacing w:after="0" w:line="240" w:lineRule="auto"/>
        <w:rPr>
          <w:rFonts w:ascii="Times New Roman" w:eastAsia="Calibri" w:hAnsi="Times New Roman" w:cs="Times New Roman"/>
          <w:sz w:val="24"/>
          <w:szCs w:val="24"/>
        </w:rPr>
      </w:pPr>
    </w:p>
    <w:p w14:paraId="23BB2824"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1"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5DFFA3C6"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Lighting, inside/outside?</w:t>
      </w:r>
    </w:p>
    <w:p w14:paraId="333AD3B3" w14:textId="77777777" w:rsidR="00AE2BFB" w:rsidRDefault="00AE2BFB" w:rsidP="00AE2BFB">
      <w:pPr>
        <w:spacing w:after="0" w:line="240" w:lineRule="auto"/>
        <w:rPr>
          <w:rFonts w:ascii="Times New Roman" w:eastAsia="Calibri" w:hAnsi="Times New Roman" w:cs="Times New Roman"/>
          <w:sz w:val="24"/>
          <w:szCs w:val="24"/>
        </w:rPr>
      </w:pPr>
    </w:p>
    <w:p w14:paraId="72D83BA9"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2"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6C75C717"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Convenience receptacles and other power availability?</w:t>
      </w:r>
    </w:p>
    <w:p w14:paraId="7D63B191" w14:textId="77777777" w:rsidR="00AE2BFB" w:rsidRDefault="00AE2BFB" w:rsidP="00AE2BFB">
      <w:pPr>
        <w:spacing w:after="0" w:line="240" w:lineRule="auto"/>
        <w:rPr>
          <w:rFonts w:ascii="Times New Roman" w:eastAsia="Calibri" w:hAnsi="Times New Roman" w:cs="Times New Roman"/>
          <w:sz w:val="24"/>
          <w:szCs w:val="24"/>
        </w:rPr>
      </w:pPr>
    </w:p>
    <w:p w14:paraId="749FFD63"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lastRenderedPageBreak/>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3"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38C8A697"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Door and other critical component dimensions</w:t>
      </w:r>
    </w:p>
    <w:p w14:paraId="04ABD0CA" w14:textId="77777777" w:rsidR="00AE2BFB" w:rsidRDefault="00AE2BFB" w:rsidP="00AE2BFB">
      <w:pPr>
        <w:spacing w:after="0" w:line="240" w:lineRule="auto"/>
        <w:rPr>
          <w:rFonts w:ascii="Times New Roman" w:eastAsia="Calibri" w:hAnsi="Times New Roman" w:cs="Times New Roman"/>
          <w:sz w:val="24"/>
          <w:szCs w:val="24"/>
        </w:rPr>
      </w:pPr>
    </w:p>
    <w:p w14:paraId="4E75985E"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4"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106336D4"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How is/will power distribution be handled?</w:t>
      </w:r>
    </w:p>
    <w:p w14:paraId="493B0CFA" w14:textId="77777777" w:rsidR="00AE2BFB" w:rsidRDefault="00AE2BFB" w:rsidP="00AE2BFB">
      <w:pPr>
        <w:spacing w:after="0" w:line="240" w:lineRule="auto"/>
        <w:rPr>
          <w:rFonts w:ascii="Times New Roman" w:eastAsia="Calibri" w:hAnsi="Times New Roman" w:cs="Times New Roman"/>
          <w:sz w:val="24"/>
          <w:szCs w:val="24"/>
        </w:rPr>
      </w:pPr>
    </w:p>
    <w:p w14:paraId="796DA1DE"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5"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7DE7B3B0"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Upstream of the UPS- input switchgear type drawout/fixed mount, panel or switchboard</w:t>
      </w:r>
    </w:p>
    <w:p w14:paraId="3CE55276" w14:textId="77777777" w:rsidR="00AE2BFB" w:rsidRDefault="00AE2BFB" w:rsidP="00AE2BFB">
      <w:pPr>
        <w:spacing w:after="0" w:line="240" w:lineRule="auto"/>
        <w:rPr>
          <w:rFonts w:ascii="Times New Roman" w:eastAsia="Calibri" w:hAnsi="Times New Roman" w:cs="Times New Roman"/>
          <w:sz w:val="24"/>
          <w:szCs w:val="24"/>
        </w:rPr>
      </w:pPr>
    </w:p>
    <w:p w14:paraId="44994585"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6"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470CD230"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Downstream of the UPS- PDU/RPP, panel board</w:t>
      </w:r>
    </w:p>
    <w:p w14:paraId="51E8513B" w14:textId="77777777" w:rsidR="00AE2BFB" w:rsidRDefault="00AE2BFB" w:rsidP="00AE2BFB">
      <w:pPr>
        <w:spacing w:after="0" w:line="240" w:lineRule="auto"/>
        <w:rPr>
          <w:rFonts w:ascii="Times New Roman" w:eastAsia="Calibri" w:hAnsi="Times New Roman" w:cs="Times New Roman"/>
          <w:sz w:val="24"/>
          <w:szCs w:val="24"/>
        </w:rPr>
      </w:pPr>
    </w:p>
    <w:p w14:paraId="58811D72"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7"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6C539686"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Under or overhead power distribution cabling, whips flex conduit</w:t>
      </w:r>
    </w:p>
    <w:p w14:paraId="5DC27309" w14:textId="77777777" w:rsidR="00AE2BFB" w:rsidRDefault="00AE2BFB" w:rsidP="00AE2BFB">
      <w:pPr>
        <w:spacing w:after="0" w:line="240" w:lineRule="auto"/>
        <w:rPr>
          <w:rFonts w:ascii="Times New Roman" w:eastAsia="Calibri" w:hAnsi="Times New Roman" w:cs="Times New Roman"/>
          <w:sz w:val="24"/>
          <w:szCs w:val="24"/>
        </w:rPr>
      </w:pPr>
    </w:p>
    <w:p w14:paraId="07C410E4"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8"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07C8AE88"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Continue to use busway overhead?</w:t>
      </w:r>
    </w:p>
    <w:p w14:paraId="38DC579F" w14:textId="77777777" w:rsidR="00AE2BFB" w:rsidRDefault="00AE2BFB" w:rsidP="00AE2BFB">
      <w:pPr>
        <w:spacing w:after="0" w:line="240" w:lineRule="auto"/>
        <w:rPr>
          <w:rFonts w:ascii="Times New Roman" w:eastAsia="Calibri" w:hAnsi="Times New Roman" w:cs="Times New Roman"/>
          <w:sz w:val="24"/>
          <w:szCs w:val="24"/>
        </w:rPr>
      </w:pPr>
    </w:p>
    <w:p w14:paraId="781A3BC9"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29"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217483BC"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Current generator specifications, new required?</w:t>
      </w:r>
    </w:p>
    <w:p w14:paraId="0DEE8490" w14:textId="77777777" w:rsidR="00AE2BFB" w:rsidRDefault="00AE2BFB" w:rsidP="00AE2BFB">
      <w:pPr>
        <w:spacing w:after="0" w:line="240" w:lineRule="auto"/>
        <w:rPr>
          <w:rFonts w:ascii="Times New Roman" w:eastAsia="Calibri" w:hAnsi="Times New Roman" w:cs="Times New Roman"/>
          <w:sz w:val="24"/>
          <w:szCs w:val="24"/>
        </w:rPr>
      </w:pPr>
    </w:p>
    <w:p w14:paraId="126043CF"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0"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12161838"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 ATS required?</w:t>
      </w:r>
    </w:p>
    <w:p w14:paraId="74ABE2C6" w14:textId="77777777" w:rsidR="00AE2BFB" w:rsidRDefault="00AE2BFB" w:rsidP="00AE2BFB">
      <w:pPr>
        <w:spacing w:after="0" w:line="240" w:lineRule="auto"/>
        <w:rPr>
          <w:rFonts w:ascii="Times New Roman" w:eastAsia="Calibri" w:hAnsi="Times New Roman" w:cs="Times New Roman"/>
          <w:sz w:val="24"/>
          <w:szCs w:val="24"/>
        </w:rPr>
      </w:pPr>
    </w:p>
    <w:p w14:paraId="0127BC3F"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1"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6C6D692B"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IT Integration SOW required?  Power, power distribution, IT equipment etc.  Are there certain tasks an NETL staff member or contractor MUST perform?</w:t>
      </w:r>
    </w:p>
    <w:p w14:paraId="3C687DE0" w14:textId="77777777" w:rsidR="00D84699" w:rsidRDefault="00D84699">
      <w:pPr>
        <w:spacing w:after="0" w:line="240" w:lineRule="auto"/>
        <w:rPr>
          <w:rFonts w:ascii="Times New Roman" w:eastAsia="Calibri" w:hAnsi="Times New Roman" w:cs="Times New Roman"/>
          <w:sz w:val="24"/>
          <w:szCs w:val="24"/>
        </w:rPr>
      </w:pPr>
    </w:p>
    <w:p w14:paraId="0FB1C4EF" w14:textId="77777777" w:rsidR="00B41F5D" w:rsidRDefault="00D84699" w:rsidP="00B41F5D">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Ref. RFP Section 3.10</w:t>
      </w:r>
      <w:r w:rsidR="00E133D0">
        <w:rPr>
          <w:rFonts w:ascii="Times New Roman" w:eastAsia="Calibri" w:hAnsi="Times New Roman" w:cs="Times New Roman"/>
          <w:b/>
          <w:sz w:val="24"/>
          <w:szCs w:val="24"/>
        </w:rPr>
        <w:t>, 8.0, 9.0, and 10.0</w:t>
      </w:r>
      <w:r w:rsidR="00B41F5D">
        <w:rPr>
          <w:rFonts w:ascii="Times New Roman" w:eastAsia="Calibri" w:hAnsi="Times New Roman" w:cs="Times New Roman"/>
          <w:b/>
          <w:sz w:val="24"/>
          <w:szCs w:val="24"/>
        </w:rPr>
        <w:t xml:space="preserve"> for IT integration and startup information.  Power, power distribution, IT equipment, etc. is answered in the RFP.  Reference RFP Sections 3.12, 3.13, 6.0, 6.1, 6.2, and reference drawings and manuals found at </w:t>
      </w:r>
      <w:hyperlink r:id="rId32" w:history="1">
        <w:r w:rsidR="00B41F5D" w:rsidRPr="00AE1554">
          <w:rPr>
            <w:rStyle w:val="Hyperlink"/>
            <w:rFonts w:ascii="Times New Roman" w:hAnsi="Times New Roman" w:cs="Times New Roman"/>
            <w:sz w:val="24"/>
            <w:szCs w:val="24"/>
          </w:rPr>
          <w:t>http://netl.doe.gov/business/site-support/de-sol-0011826</w:t>
        </w:r>
      </w:hyperlink>
      <w:r w:rsidR="00B41F5D">
        <w:rPr>
          <w:rFonts w:ascii="Times New Roman" w:hAnsi="Times New Roman" w:cs="Times New Roman"/>
          <w:b/>
          <w:sz w:val="24"/>
          <w:szCs w:val="24"/>
        </w:rPr>
        <w:t>.</w:t>
      </w:r>
    </w:p>
    <w:p w14:paraId="31DCAE09"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Monitoring and metering required at what points of the power chain?  Which devices?</w:t>
      </w:r>
    </w:p>
    <w:p w14:paraId="7A0D655C" w14:textId="77777777" w:rsidR="00AE2BFB" w:rsidRDefault="00AE2BFB" w:rsidP="00AE2BFB">
      <w:pPr>
        <w:spacing w:after="0" w:line="240" w:lineRule="auto"/>
        <w:rPr>
          <w:rFonts w:ascii="Times New Roman" w:eastAsia="Calibri" w:hAnsi="Times New Roman" w:cs="Times New Roman"/>
          <w:sz w:val="24"/>
          <w:szCs w:val="24"/>
        </w:rPr>
      </w:pPr>
    </w:p>
    <w:p w14:paraId="6EF66F4F"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3"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7F191152"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Down time schedule/window?</w:t>
      </w:r>
    </w:p>
    <w:p w14:paraId="7FBA7F14" w14:textId="77777777" w:rsidR="0033305B" w:rsidRDefault="0033305B">
      <w:pPr>
        <w:spacing w:after="0" w:line="240" w:lineRule="auto"/>
        <w:rPr>
          <w:rFonts w:ascii="Times New Roman" w:eastAsia="Calibri" w:hAnsi="Times New Roman" w:cs="Times New Roman"/>
          <w:sz w:val="24"/>
          <w:szCs w:val="24"/>
        </w:rPr>
      </w:pPr>
    </w:p>
    <w:p w14:paraId="30AA320E" w14:textId="77777777" w:rsidR="0033305B" w:rsidRPr="00E26149" w:rsidRDefault="0033305B" w:rsidP="0033305B">
      <w:pPr>
        <w:spacing w:after="0" w:line="240" w:lineRule="auto"/>
        <w:rPr>
          <w:rFonts w:ascii="Times New Roman" w:eastAsia="Calibri"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See Section 1.0 and Section 11.1, Transition Plan </w:t>
      </w:r>
    </w:p>
    <w:p w14:paraId="0C4F0C72"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Softcopy site planning drawings available?</w:t>
      </w:r>
    </w:p>
    <w:p w14:paraId="4F9D1E38" w14:textId="77777777" w:rsidR="00AE2BFB" w:rsidRDefault="00AE2BFB" w:rsidP="00AE2BFB">
      <w:pPr>
        <w:spacing w:after="0" w:line="240" w:lineRule="auto"/>
        <w:rPr>
          <w:rFonts w:ascii="Times New Roman" w:eastAsia="Calibri" w:hAnsi="Times New Roman" w:cs="Times New Roman"/>
          <w:sz w:val="24"/>
          <w:szCs w:val="24"/>
        </w:rPr>
      </w:pPr>
    </w:p>
    <w:p w14:paraId="599D3C02"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4"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001407A0"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 Certifications required? UL, ISO, Union, etc.</w:t>
      </w:r>
    </w:p>
    <w:p w14:paraId="1B753202" w14:textId="77777777" w:rsidR="00AE2BFB" w:rsidRDefault="00AE2BFB" w:rsidP="00AE2BFB">
      <w:pPr>
        <w:spacing w:after="0" w:line="240" w:lineRule="auto"/>
        <w:rPr>
          <w:rFonts w:ascii="Times New Roman" w:eastAsia="Calibri" w:hAnsi="Times New Roman" w:cs="Times New Roman"/>
          <w:sz w:val="24"/>
          <w:szCs w:val="24"/>
        </w:rPr>
      </w:pPr>
    </w:p>
    <w:p w14:paraId="7A0C48FF" w14:textId="77777777" w:rsidR="00AE2BFB" w:rsidRDefault="00AE2BFB" w:rsidP="00AE2BFB">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5"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4459570C" w14:textId="77777777" w:rsidR="00204AE2" w:rsidRDefault="00204AE2">
      <w:pPr>
        <w:spacing w:after="0" w:line="240" w:lineRule="auto"/>
        <w:rPr>
          <w:rFonts w:ascii="Times New Roman" w:eastAsia="Calibri" w:hAnsi="Times New Roman" w:cs="Times New Roman"/>
          <w:color w:val="000000"/>
          <w:sz w:val="24"/>
          <w:szCs w:val="24"/>
        </w:rPr>
      </w:pPr>
    </w:p>
    <w:p w14:paraId="326D3D4E"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 26 Section 11.1 – Transition Plan</w:t>
      </w:r>
    </w:p>
    <w:p w14:paraId="23D599ED"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Would NETL please indicate which installation and migration tasks MUST be handled by NETL staff (i.e. post-installation customization of HPC software, migration of data from the old HPC storage environment to the new HPC storage environment, connectivity of new access switches to NETL existing core network, etc.)? </w:t>
      </w:r>
    </w:p>
    <w:p w14:paraId="547EE29A" w14:textId="77777777" w:rsidR="00204AE2" w:rsidRDefault="00204AE2">
      <w:pPr>
        <w:spacing w:after="0" w:line="240" w:lineRule="auto"/>
        <w:rPr>
          <w:rFonts w:ascii="Times New Roman" w:eastAsia="Calibri" w:hAnsi="Times New Roman" w:cs="Times New Roman"/>
          <w:color w:val="000000"/>
          <w:sz w:val="24"/>
          <w:szCs w:val="24"/>
        </w:rPr>
      </w:pPr>
    </w:p>
    <w:p w14:paraId="22C80F0E" w14:textId="77777777" w:rsidR="00204AE2" w:rsidRDefault="0016119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Response</w:t>
      </w:r>
      <w:r w:rsidR="00E26149">
        <w:rPr>
          <w:rFonts w:ascii="Times New Roman" w:eastAsia="Calibri" w:hAnsi="Times New Roman" w:cs="Times New Roman"/>
          <w:b/>
          <w:color w:val="000000"/>
          <w:sz w:val="24"/>
          <w:szCs w:val="24"/>
        </w:rPr>
        <w:t xml:space="preserve"> –</w:t>
      </w:r>
      <w:r w:rsidR="00304182">
        <w:rPr>
          <w:rFonts w:ascii="Times New Roman" w:eastAsia="Calibri" w:hAnsi="Times New Roman" w:cs="Times New Roman"/>
          <w:b/>
          <w:color w:val="000000"/>
          <w:sz w:val="24"/>
          <w:szCs w:val="24"/>
        </w:rPr>
        <w:t xml:space="preserve"> T</w:t>
      </w:r>
      <w:r w:rsidR="00240F25">
        <w:rPr>
          <w:rFonts w:ascii="Times New Roman" w:eastAsia="Calibri" w:hAnsi="Times New Roman" w:cs="Times New Roman"/>
          <w:b/>
          <w:color w:val="000000"/>
          <w:sz w:val="24"/>
          <w:szCs w:val="24"/>
        </w:rPr>
        <w:t>he referenced</w:t>
      </w:r>
      <w:r w:rsidR="00E26149">
        <w:rPr>
          <w:rFonts w:ascii="Times New Roman" w:eastAsia="Calibri" w:hAnsi="Times New Roman" w:cs="Times New Roman"/>
          <w:b/>
          <w:color w:val="000000"/>
          <w:sz w:val="24"/>
          <w:szCs w:val="24"/>
        </w:rPr>
        <w:t xml:space="preserve"> items will be performed by NETL</w:t>
      </w:r>
    </w:p>
    <w:p w14:paraId="6FF64F25" w14:textId="77777777" w:rsidR="00204AE2" w:rsidRDefault="00204AE2">
      <w:pPr>
        <w:spacing w:after="0" w:line="240" w:lineRule="auto"/>
        <w:rPr>
          <w:rFonts w:ascii="Times New Roman" w:eastAsia="Calibri" w:hAnsi="Times New Roman" w:cs="Times New Roman"/>
          <w:b/>
          <w:color w:val="000000"/>
          <w:sz w:val="24"/>
          <w:szCs w:val="24"/>
        </w:rPr>
      </w:pPr>
    </w:p>
    <w:p w14:paraId="57472E15" w14:textId="77777777" w:rsidR="00204AE2" w:rsidRDefault="00161193">
      <w:pPr>
        <w:widowControl w:val="0"/>
        <w:tabs>
          <w:tab w:val="left" w:pos="2160"/>
        </w:tabs>
        <w:suppressAutoHyphen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 27 Considering the scale and scope of this solicitation, we would like to request a 2 week </w:t>
      </w:r>
      <w:r>
        <w:rPr>
          <w:rFonts w:ascii="Times New Roman" w:hAnsi="Times New Roman" w:cs="Times New Roman"/>
          <w:color w:val="000000" w:themeColor="text1"/>
          <w:sz w:val="24"/>
          <w:szCs w:val="24"/>
        </w:rPr>
        <w:lastRenderedPageBreak/>
        <w:t>extension to the RFP due date (from 10/31/17 to 11/14/17)</w:t>
      </w:r>
    </w:p>
    <w:p w14:paraId="60BFCE58" w14:textId="77777777"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3A5AC0" w:rsidRPr="00D617CE">
        <w:rPr>
          <w:rFonts w:ascii="Times New Roman" w:eastAsia="Calibri" w:hAnsi="Times New Roman" w:cs="Times New Roman"/>
          <w:b/>
          <w:color w:val="000000"/>
          <w:sz w:val="24"/>
          <w:szCs w:val="24"/>
        </w:rPr>
        <w:t xml:space="preserve"> RFP due date remains 10/31/2017</w:t>
      </w:r>
    </w:p>
    <w:p w14:paraId="395BE355" w14:textId="77777777" w:rsidR="00204AE2" w:rsidRDefault="00204AE2">
      <w:pPr>
        <w:spacing w:after="0" w:line="240" w:lineRule="auto"/>
        <w:rPr>
          <w:rFonts w:ascii="Times New Roman" w:eastAsia="Calibri" w:hAnsi="Times New Roman" w:cs="Times New Roman"/>
          <w:b/>
          <w:color w:val="000000"/>
          <w:sz w:val="24"/>
          <w:szCs w:val="24"/>
        </w:rPr>
      </w:pPr>
    </w:p>
    <w:p w14:paraId="152CF3CC"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Q.28 “Whereas, LESSEE operates a U.S Department of Energy Laboratory (the “U.S. Government End User”) under a contract (the “Government Contract”) as might be amended from time to time; and Whereas, LESSEE desires to lease certain equipment from LESSOR for use at U.S Government End User; and Whereas, LESSEE and LESSOR are entering into this Agreement as a financing transaction between Lessee and Lessor for the sale of the equipment described on one or more Lease Schedules to be issued hereunder.”</w:t>
      </w:r>
    </w:p>
    <w:p w14:paraId="78918A42" w14:textId="77777777" w:rsidR="00204AE2" w:rsidRDefault="00204AE2">
      <w:pPr>
        <w:spacing w:after="0" w:line="240" w:lineRule="auto"/>
        <w:rPr>
          <w:rFonts w:ascii="Times New Roman" w:eastAsia="Calibri" w:hAnsi="Times New Roman" w:cs="Times New Roman"/>
          <w:color w:val="000000"/>
          <w:sz w:val="24"/>
          <w:szCs w:val="24"/>
        </w:rPr>
      </w:pPr>
    </w:p>
    <w:p w14:paraId="02720C2D"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Could you please clarify exactly what entity will be the Lessee?  Is it the Department of Energy or another legal entity that operates the Lab?</w:t>
      </w:r>
    </w:p>
    <w:p w14:paraId="6C49DA1C" w14:textId="77777777" w:rsidR="00204AE2" w:rsidRDefault="00204AE2">
      <w:pPr>
        <w:spacing w:after="0" w:line="240" w:lineRule="auto"/>
        <w:rPr>
          <w:rFonts w:ascii="Times New Roman" w:eastAsia="Calibri" w:hAnsi="Times New Roman" w:cs="Times New Roman"/>
          <w:color w:val="000000"/>
          <w:sz w:val="24"/>
          <w:szCs w:val="24"/>
        </w:rPr>
      </w:pPr>
    </w:p>
    <w:p w14:paraId="6841541D" w14:textId="77777777"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3A5AC0" w:rsidRPr="00D617CE">
        <w:rPr>
          <w:rFonts w:ascii="Times New Roman" w:eastAsia="Calibri" w:hAnsi="Times New Roman" w:cs="Times New Roman"/>
          <w:b/>
          <w:color w:val="000000"/>
          <w:sz w:val="24"/>
          <w:szCs w:val="24"/>
        </w:rPr>
        <w:t xml:space="preserve"> National Energy Technology Laboratory</w:t>
      </w:r>
    </w:p>
    <w:p w14:paraId="2D44DBB1" w14:textId="77777777" w:rsidR="00204AE2" w:rsidRDefault="00204AE2">
      <w:pPr>
        <w:spacing w:after="0" w:line="240" w:lineRule="auto"/>
        <w:rPr>
          <w:rFonts w:ascii="Times New Roman" w:eastAsia="Calibri" w:hAnsi="Times New Roman" w:cs="Times New Roman"/>
          <w:b/>
          <w:color w:val="000000"/>
          <w:sz w:val="24"/>
          <w:szCs w:val="24"/>
        </w:rPr>
      </w:pPr>
    </w:p>
    <w:p w14:paraId="45ACD224" w14:textId="77777777" w:rsidR="00204AE2" w:rsidRDefault="00161193">
      <w:pPr>
        <w:rPr>
          <w:rFonts w:ascii="Times New Roman" w:hAnsi="Times New Roman" w:cs="Times New Roman"/>
          <w:sz w:val="24"/>
          <w:szCs w:val="24"/>
        </w:rPr>
      </w:pPr>
      <w:r>
        <w:rPr>
          <w:rFonts w:ascii="Times New Roman" w:hAnsi="Times New Roman" w:cs="Times New Roman"/>
          <w:sz w:val="24"/>
          <w:szCs w:val="24"/>
        </w:rPr>
        <w:t>Q.29 Finance Question:  Does NETL intends to finance the property taxes and so those should be included as part of the debt service as well?</w:t>
      </w:r>
    </w:p>
    <w:p w14:paraId="12069BCD" w14:textId="02303C0D" w:rsidR="00204AE2" w:rsidRDefault="00D617CE">
      <w:pPr>
        <w:rPr>
          <w:rFonts w:ascii="Times New Roman" w:hAnsi="Times New Roman" w:cs="Times New Roman"/>
          <w:b/>
          <w:sz w:val="24"/>
          <w:szCs w:val="24"/>
        </w:rPr>
      </w:pPr>
      <w:r w:rsidRPr="00D617CE">
        <w:rPr>
          <w:rFonts w:ascii="Times New Roman" w:hAnsi="Times New Roman" w:cs="Times New Roman"/>
          <w:b/>
          <w:sz w:val="24"/>
          <w:szCs w:val="24"/>
        </w:rPr>
        <w:t>No Federal Government does not pay property taxes and we are tax exempt</w:t>
      </w:r>
    </w:p>
    <w:p w14:paraId="2293D074" w14:textId="77777777" w:rsidR="00204AE2" w:rsidRDefault="00161193">
      <w:pPr>
        <w:rPr>
          <w:rFonts w:ascii="Times New Roman" w:hAnsi="Times New Roman" w:cs="Times New Roman"/>
          <w:sz w:val="24"/>
          <w:szCs w:val="24"/>
        </w:rPr>
      </w:pPr>
      <w:r>
        <w:rPr>
          <w:rFonts w:ascii="Times New Roman" w:hAnsi="Times New Roman" w:cs="Times New Roman"/>
          <w:sz w:val="24"/>
          <w:szCs w:val="24"/>
        </w:rPr>
        <w:t>Q.30 Storage Question:  What type of data is being stored?  Structured data (structured data is organized in a highly mechanized and manageable way. Structured data is ready for seamless integration into a database or well-structured file format such as XML.), unstructured data (Unstructured data, by contrast, is raw and unorganized.  Examples of unstructured data include email, books, documents, medical records, satellite images, pictures, video and social media posts.) or both?  How quickly does the data need to be retrieved?</w:t>
      </w:r>
    </w:p>
    <w:p w14:paraId="1BB0C8D6" w14:textId="77777777" w:rsidR="00204AE2" w:rsidRDefault="00161193">
      <w:pPr>
        <w:spacing w:after="0" w:line="240" w:lineRule="auto"/>
      </w:pPr>
      <w:r>
        <w:rPr>
          <w:rFonts w:ascii="Times New Roman" w:eastAsia="Calibri" w:hAnsi="Times New Roman" w:cs="Times New Roman"/>
          <w:b/>
          <w:color w:val="000000"/>
          <w:sz w:val="24"/>
          <w:szCs w:val="24"/>
        </w:rPr>
        <w:t>Response – Data will primarily be stored as large files in user-organized directories.  Most data will NOT be stored in databases.  Read and write file access speed is critical for HPC performance.</w:t>
      </w:r>
    </w:p>
    <w:p w14:paraId="68157349" w14:textId="77777777" w:rsidR="00204AE2" w:rsidRDefault="00204AE2">
      <w:pPr>
        <w:spacing w:after="0" w:line="240" w:lineRule="auto"/>
        <w:rPr>
          <w:rFonts w:ascii="Times New Roman" w:eastAsia="Calibri" w:hAnsi="Times New Roman" w:cs="Times New Roman"/>
          <w:b/>
          <w:color w:val="000000"/>
          <w:sz w:val="24"/>
          <w:szCs w:val="24"/>
        </w:rPr>
      </w:pPr>
    </w:p>
    <w:p w14:paraId="19F4A48B" w14:textId="77777777" w:rsidR="00204AE2" w:rsidRDefault="00161193">
      <w:pPr>
        <w:rPr>
          <w:rFonts w:ascii="Times New Roman" w:hAnsi="Times New Roman" w:cs="Times New Roman"/>
          <w:sz w:val="24"/>
          <w:szCs w:val="24"/>
        </w:rPr>
      </w:pPr>
      <w:r>
        <w:rPr>
          <w:rFonts w:ascii="Times New Roman" w:hAnsi="Times New Roman" w:cs="Times New Roman"/>
          <w:sz w:val="24"/>
          <w:szCs w:val="24"/>
        </w:rPr>
        <w:t>Q.31 We would like to support CPU that would not meet 2.6GHz frequency however it will be more cost effective and better performing than alternate which supports 2.6GHz. Proposed CPU will be 2.4Ghz with more than 16 cores. Would that be acceptable?</w:t>
      </w:r>
    </w:p>
    <w:p w14:paraId="595926FC" w14:textId="77777777" w:rsidR="00204AE2" w:rsidRDefault="00161193">
      <w:pPr>
        <w:spacing w:after="0" w:line="240" w:lineRule="auto"/>
      </w:pPr>
      <w:r>
        <w:rPr>
          <w:rFonts w:ascii="Times New Roman" w:eastAsia="Calibri" w:hAnsi="Times New Roman" w:cs="Times New Roman"/>
          <w:b/>
          <w:color w:val="000000"/>
          <w:sz w:val="24"/>
          <w:szCs w:val="24"/>
        </w:rPr>
        <w:t>Response – CPU speed and core count may be proposed so as to deliver optimal performance for the price.</w:t>
      </w:r>
      <w:r w:rsidR="000742D6">
        <w:rPr>
          <w:rFonts w:ascii="Times New Roman" w:eastAsia="Calibri" w:hAnsi="Times New Roman" w:cs="Times New Roman"/>
          <w:b/>
          <w:color w:val="000000"/>
          <w:sz w:val="24"/>
          <w:szCs w:val="24"/>
        </w:rPr>
        <w:t xml:space="preserve">  See RFP Section 3.0 Note about offering alternative solutions.</w:t>
      </w:r>
    </w:p>
    <w:p w14:paraId="4C397E1E" w14:textId="77777777" w:rsidR="00204AE2" w:rsidRDefault="00204AE2">
      <w:pPr>
        <w:spacing w:after="0" w:line="240" w:lineRule="auto"/>
        <w:rPr>
          <w:rFonts w:ascii="Times New Roman" w:eastAsia="Calibri" w:hAnsi="Times New Roman" w:cs="Times New Roman"/>
          <w:b/>
          <w:color w:val="000000"/>
          <w:sz w:val="24"/>
          <w:szCs w:val="24"/>
        </w:rPr>
      </w:pPr>
    </w:p>
    <w:p w14:paraId="54A8264E" w14:textId="77777777" w:rsidR="00204AE2" w:rsidRDefault="00161193">
      <w:pPr>
        <w:rPr>
          <w:rFonts w:ascii="Times New Roman" w:hAnsi="Times New Roman" w:cs="Times New Roman"/>
          <w:sz w:val="24"/>
          <w:szCs w:val="24"/>
        </w:rPr>
      </w:pPr>
      <w:r>
        <w:rPr>
          <w:rFonts w:ascii="Times New Roman" w:hAnsi="Times New Roman" w:cs="Times New Roman"/>
          <w:sz w:val="24"/>
          <w:szCs w:val="24"/>
        </w:rPr>
        <w:t>Q.32 For compute nodes do you require 4TB usable which is in raid-1?</w:t>
      </w:r>
    </w:p>
    <w:p w14:paraId="51D25D45" w14:textId="77777777" w:rsidR="00204AE2" w:rsidRDefault="00161193">
      <w:pPr>
        <w:spacing w:after="0" w:line="240" w:lineRule="auto"/>
      </w:pPr>
      <w:r>
        <w:rPr>
          <w:rFonts w:ascii="Times New Roman" w:eastAsia="Calibri" w:hAnsi="Times New Roman" w:cs="Times New Roman"/>
          <w:b/>
          <w:color w:val="000000"/>
          <w:sz w:val="24"/>
          <w:szCs w:val="24"/>
        </w:rPr>
        <w:t>Response – Two 4TB drives in RAID1 with 4TB effective capacity.</w:t>
      </w:r>
    </w:p>
    <w:p w14:paraId="0E50FF3B" w14:textId="77777777" w:rsidR="00204AE2" w:rsidRDefault="00204AE2">
      <w:pPr>
        <w:spacing w:after="0" w:line="240" w:lineRule="auto"/>
        <w:rPr>
          <w:rFonts w:ascii="Times New Roman" w:eastAsia="Calibri" w:hAnsi="Times New Roman" w:cs="Times New Roman"/>
          <w:b/>
          <w:color w:val="000000"/>
          <w:sz w:val="24"/>
          <w:szCs w:val="24"/>
        </w:rPr>
      </w:pPr>
    </w:p>
    <w:p w14:paraId="545C21C5" w14:textId="77777777" w:rsidR="00204AE2" w:rsidRDefault="00161193">
      <w:pPr>
        <w:rPr>
          <w:rFonts w:ascii="Times New Roman" w:hAnsi="Times New Roman" w:cs="Times New Roman"/>
          <w:sz w:val="24"/>
          <w:szCs w:val="24"/>
        </w:rPr>
      </w:pPr>
      <w:r>
        <w:rPr>
          <w:rFonts w:ascii="Times New Roman" w:hAnsi="Times New Roman" w:cs="Times New Roman"/>
          <w:sz w:val="24"/>
          <w:szCs w:val="24"/>
        </w:rPr>
        <w:t>Q.33 For any 10G connections, do you prefer SFP+ or BaseT?</w:t>
      </w:r>
    </w:p>
    <w:p w14:paraId="6D886A44" w14:textId="77777777" w:rsidR="00204AE2" w:rsidRDefault="00161193">
      <w:pPr>
        <w:spacing w:after="0" w:line="240" w:lineRule="auto"/>
      </w:pPr>
      <w:r>
        <w:rPr>
          <w:rFonts w:ascii="Times New Roman" w:eastAsia="Calibri" w:hAnsi="Times New Roman" w:cs="Times New Roman"/>
          <w:b/>
          <w:color w:val="000000"/>
          <w:sz w:val="24"/>
          <w:szCs w:val="24"/>
        </w:rPr>
        <w:lastRenderedPageBreak/>
        <w:t>Response – No preference for 10G runs within the HPC envelope.  SFP is preferred for the backup servers.</w:t>
      </w:r>
    </w:p>
    <w:p w14:paraId="25619B88" w14:textId="77777777" w:rsidR="00204AE2" w:rsidRDefault="00204AE2">
      <w:pPr>
        <w:spacing w:after="0" w:line="240" w:lineRule="auto"/>
        <w:rPr>
          <w:rFonts w:ascii="Times New Roman" w:eastAsia="Calibri" w:hAnsi="Times New Roman" w:cs="Times New Roman"/>
          <w:b/>
          <w:color w:val="000000"/>
          <w:sz w:val="24"/>
          <w:szCs w:val="24"/>
        </w:rPr>
      </w:pPr>
    </w:p>
    <w:p w14:paraId="2C986861" w14:textId="77777777" w:rsidR="00204AE2" w:rsidRDefault="00161193">
      <w:pPr>
        <w:rPr>
          <w:rFonts w:ascii="Times New Roman" w:hAnsi="Times New Roman" w:cs="Times New Roman"/>
          <w:sz w:val="24"/>
          <w:szCs w:val="24"/>
        </w:rPr>
      </w:pPr>
      <w:r>
        <w:rPr>
          <w:rFonts w:ascii="Times New Roman" w:hAnsi="Times New Roman" w:cs="Times New Roman"/>
          <w:sz w:val="24"/>
          <w:szCs w:val="24"/>
        </w:rPr>
        <w:t>Q.34 How do we need to configure backup storage server and JBOD arrays?</w:t>
      </w:r>
    </w:p>
    <w:p w14:paraId="6DE91F03" w14:textId="77777777" w:rsidR="00204AE2" w:rsidRDefault="00161193">
      <w:pPr>
        <w:spacing w:after="0" w:line="240" w:lineRule="auto"/>
      </w:pPr>
      <w:r>
        <w:rPr>
          <w:rFonts w:ascii="Times New Roman" w:eastAsia="Calibri" w:hAnsi="Times New Roman" w:cs="Times New Roman"/>
          <w:b/>
          <w:color w:val="000000"/>
          <w:sz w:val="24"/>
          <w:szCs w:val="24"/>
        </w:rPr>
        <w:t xml:space="preserve">Response – </w:t>
      </w:r>
      <w:r w:rsidR="000742D6">
        <w:rPr>
          <w:rFonts w:ascii="Times New Roman" w:eastAsia="Calibri" w:hAnsi="Times New Roman" w:cs="Times New Roman"/>
          <w:b/>
          <w:color w:val="000000"/>
          <w:sz w:val="24"/>
          <w:szCs w:val="24"/>
        </w:rPr>
        <w:t xml:space="preserve">Reference RFP Section 4.0.  </w:t>
      </w:r>
      <w:r>
        <w:rPr>
          <w:rFonts w:ascii="Times New Roman" w:eastAsia="Calibri" w:hAnsi="Times New Roman" w:cs="Times New Roman"/>
          <w:b/>
          <w:color w:val="000000"/>
          <w:sz w:val="24"/>
          <w:szCs w:val="24"/>
        </w:rPr>
        <w:t>The backup servers will be deployed in NETL’s primary data center and will not connect directly to any networks in the HPC envelope.</w:t>
      </w:r>
    </w:p>
    <w:p w14:paraId="2357A4C3" w14:textId="77777777" w:rsidR="00204AE2" w:rsidRDefault="00204AE2">
      <w:pPr>
        <w:spacing w:after="0" w:line="240" w:lineRule="auto"/>
        <w:rPr>
          <w:rFonts w:ascii="Times New Roman" w:eastAsia="Calibri" w:hAnsi="Times New Roman" w:cs="Times New Roman"/>
          <w:b/>
          <w:color w:val="000000"/>
          <w:sz w:val="24"/>
          <w:szCs w:val="24"/>
        </w:rPr>
      </w:pPr>
    </w:p>
    <w:p w14:paraId="74588B41" w14:textId="77777777" w:rsidR="00204AE2" w:rsidRDefault="0016119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Q.35 Software List - The requested software pricing will vary depending on whether these are for new licenses or subscription renewals. If it is a subscription renewal, we will need the license number to provide the requested pricing.  Could NETL please provide this information for each software product/feature listed?  Also, we are assuming the number listed in the Features column are the quantity required for that specific feature, correct?</w:t>
      </w:r>
    </w:p>
    <w:p w14:paraId="03E32238" w14:textId="77777777" w:rsidR="00204AE2" w:rsidRDefault="00204AE2">
      <w:pPr>
        <w:spacing w:after="0" w:line="240" w:lineRule="auto"/>
        <w:rPr>
          <w:rFonts w:ascii="Times New Roman" w:eastAsia="Calibri" w:hAnsi="Times New Roman" w:cs="Times New Roman"/>
          <w:color w:val="000000"/>
          <w:sz w:val="24"/>
          <w:szCs w:val="24"/>
        </w:rPr>
      </w:pPr>
    </w:p>
    <w:p w14:paraId="3BA47D82" w14:textId="77777777"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0742D6" w:rsidRPr="00D617CE">
        <w:rPr>
          <w:rFonts w:ascii="Times New Roman" w:eastAsia="Calibri" w:hAnsi="Times New Roman" w:cs="Times New Roman"/>
          <w:b/>
          <w:color w:val="000000"/>
          <w:sz w:val="24"/>
          <w:szCs w:val="24"/>
        </w:rPr>
        <w:t xml:space="preserve"> – New licenses</w:t>
      </w:r>
      <w:r w:rsidR="000742D6">
        <w:rPr>
          <w:rFonts w:ascii="Times New Roman" w:eastAsia="Calibri" w:hAnsi="Times New Roman" w:cs="Times New Roman"/>
          <w:b/>
          <w:color w:val="000000"/>
          <w:sz w:val="24"/>
          <w:szCs w:val="24"/>
        </w:rPr>
        <w:t xml:space="preserve">  </w:t>
      </w:r>
    </w:p>
    <w:p w14:paraId="306FC2CA" w14:textId="77777777" w:rsidR="00204AE2" w:rsidRDefault="00204AE2">
      <w:pPr>
        <w:spacing w:after="0" w:line="240" w:lineRule="auto"/>
        <w:rPr>
          <w:rFonts w:ascii="Times New Roman" w:eastAsia="Calibri" w:hAnsi="Times New Roman" w:cs="Times New Roman"/>
          <w:color w:val="000000"/>
          <w:sz w:val="24"/>
          <w:szCs w:val="24"/>
        </w:rPr>
      </w:pPr>
    </w:p>
    <w:p w14:paraId="4A907BB3"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Q.36 </w:t>
      </w:r>
      <w:r>
        <w:rPr>
          <w:rFonts w:ascii="Times New Roman" w:eastAsia="Calibri" w:hAnsi="Times New Roman" w:cs="Times New Roman"/>
          <w:sz w:val="24"/>
          <w:szCs w:val="24"/>
        </w:rPr>
        <w:t>What is the full legal name of the entity that will be the lessee?   What is that entity’s relationship to NETL?   If that entity is not a US Government entity, who can provide details regarding the entity’s relationship to NETL and current and historical financial statements for the entity?</w:t>
      </w:r>
    </w:p>
    <w:p w14:paraId="23E66456" w14:textId="77777777" w:rsidR="00204AE2" w:rsidRDefault="00204AE2">
      <w:pPr>
        <w:spacing w:after="0" w:line="240" w:lineRule="auto"/>
        <w:rPr>
          <w:rFonts w:ascii="Times New Roman" w:eastAsia="Calibri" w:hAnsi="Times New Roman" w:cs="Times New Roman"/>
          <w:sz w:val="24"/>
          <w:szCs w:val="24"/>
        </w:rPr>
      </w:pPr>
    </w:p>
    <w:p w14:paraId="58A3F6B5" w14:textId="77777777"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3A5AC0" w:rsidRPr="00D617CE">
        <w:rPr>
          <w:rFonts w:ascii="Times New Roman" w:eastAsia="Calibri" w:hAnsi="Times New Roman" w:cs="Times New Roman"/>
          <w:b/>
          <w:color w:val="000000"/>
          <w:sz w:val="24"/>
          <w:szCs w:val="24"/>
        </w:rPr>
        <w:t xml:space="preserve"> National Energy Technology Laboratory</w:t>
      </w:r>
    </w:p>
    <w:p w14:paraId="253C51D3" w14:textId="77777777" w:rsidR="00204AE2" w:rsidRDefault="00204AE2">
      <w:pPr>
        <w:spacing w:after="0" w:line="240" w:lineRule="auto"/>
        <w:rPr>
          <w:rFonts w:ascii="Times New Roman" w:eastAsia="Calibri" w:hAnsi="Times New Roman" w:cs="Times New Roman"/>
          <w:color w:val="000000"/>
          <w:sz w:val="24"/>
          <w:szCs w:val="24"/>
        </w:rPr>
      </w:pPr>
    </w:p>
    <w:p w14:paraId="161BDDDA"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Q.37 Is the $5M/year lease budget inclusive of expected property taxes?  If property taxes are to be included in the $5M/year budget, do you want the monthly payments to include all property tax amounts?</w:t>
      </w:r>
    </w:p>
    <w:p w14:paraId="461AB1A3" w14:textId="77777777" w:rsidR="00204AE2" w:rsidRDefault="00204AE2">
      <w:pPr>
        <w:spacing w:after="0" w:line="240" w:lineRule="auto"/>
        <w:rPr>
          <w:rFonts w:ascii="Times New Roman" w:eastAsia="Calibri" w:hAnsi="Times New Roman" w:cs="Times New Roman"/>
          <w:sz w:val="24"/>
          <w:szCs w:val="24"/>
        </w:rPr>
      </w:pPr>
    </w:p>
    <w:p w14:paraId="091D91F6" w14:textId="2C56BDCD"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3A5AC0" w:rsidRPr="00D617CE">
        <w:rPr>
          <w:rFonts w:ascii="Times New Roman" w:eastAsia="Calibri" w:hAnsi="Times New Roman" w:cs="Times New Roman"/>
          <w:b/>
          <w:color w:val="000000"/>
          <w:sz w:val="24"/>
          <w:szCs w:val="24"/>
        </w:rPr>
        <w:t xml:space="preserve"> No property taxes</w:t>
      </w:r>
      <w:r w:rsidR="00D617CE">
        <w:rPr>
          <w:rFonts w:ascii="Times New Roman" w:eastAsia="Calibri" w:hAnsi="Times New Roman" w:cs="Times New Roman"/>
          <w:b/>
          <w:color w:val="000000"/>
          <w:sz w:val="24"/>
          <w:szCs w:val="24"/>
        </w:rPr>
        <w:t xml:space="preserve"> </w:t>
      </w:r>
      <w:r w:rsidR="00D617CE" w:rsidRPr="00D617CE">
        <w:rPr>
          <w:rFonts w:ascii="Times New Roman" w:eastAsia="Calibri" w:hAnsi="Times New Roman" w:cs="Times New Roman"/>
          <w:b/>
          <w:color w:val="000000"/>
          <w:sz w:val="24"/>
          <w:szCs w:val="24"/>
        </w:rPr>
        <w:t>Federal Government does not pay property taxes and we are tax exempt</w:t>
      </w:r>
    </w:p>
    <w:p w14:paraId="4E753261" w14:textId="77777777" w:rsidR="00204AE2" w:rsidRDefault="00204AE2">
      <w:pPr>
        <w:spacing w:after="0" w:line="240" w:lineRule="auto"/>
        <w:rPr>
          <w:rFonts w:ascii="Times New Roman" w:eastAsia="Calibri" w:hAnsi="Times New Roman" w:cs="Times New Roman"/>
          <w:sz w:val="24"/>
          <w:szCs w:val="24"/>
        </w:rPr>
      </w:pPr>
    </w:p>
    <w:p w14:paraId="011A8CEE"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Q.38 Can a wholly-owned subsidiary of the prime contractor, or a subcontractor of the prime contractor, sign the lease as “lessor”, or do you require that the prime contractor sign and assign the lease as per Section 22 of the master lease agreement?</w:t>
      </w:r>
    </w:p>
    <w:p w14:paraId="729D4A31" w14:textId="77777777" w:rsidR="00204AE2" w:rsidRDefault="00204AE2">
      <w:pPr>
        <w:spacing w:after="0" w:line="240" w:lineRule="auto"/>
        <w:rPr>
          <w:rFonts w:ascii="Times New Roman" w:eastAsia="Calibri" w:hAnsi="Times New Roman" w:cs="Times New Roman"/>
          <w:sz w:val="24"/>
          <w:szCs w:val="24"/>
        </w:rPr>
      </w:pPr>
    </w:p>
    <w:p w14:paraId="173441CD" w14:textId="77777777" w:rsidR="00204AE2" w:rsidRDefault="00161193">
      <w:pPr>
        <w:spacing w:after="0" w:line="240" w:lineRule="auto"/>
        <w:rPr>
          <w:rFonts w:ascii="Times New Roman" w:eastAsia="Calibri" w:hAnsi="Times New Roman" w:cs="Times New Roman"/>
          <w:b/>
          <w:color w:val="000000"/>
          <w:sz w:val="24"/>
          <w:szCs w:val="24"/>
        </w:rPr>
      </w:pPr>
      <w:r w:rsidRPr="00D617CE">
        <w:rPr>
          <w:rFonts w:ascii="Times New Roman" w:eastAsia="Calibri" w:hAnsi="Times New Roman" w:cs="Times New Roman"/>
          <w:b/>
          <w:color w:val="000000"/>
          <w:sz w:val="24"/>
          <w:szCs w:val="24"/>
        </w:rPr>
        <w:t>Response</w:t>
      </w:r>
      <w:r w:rsidR="003A5AC0" w:rsidRPr="00D617CE">
        <w:rPr>
          <w:rFonts w:ascii="Times New Roman" w:eastAsia="Calibri" w:hAnsi="Times New Roman" w:cs="Times New Roman"/>
          <w:b/>
          <w:color w:val="000000"/>
          <w:sz w:val="24"/>
          <w:szCs w:val="24"/>
        </w:rPr>
        <w:t xml:space="preserve"> Prime Contractor</w:t>
      </w:r>
    </w:p>
    <w:p w14:paraId="4ACD0833" w14:textId="77777777" w:rsidR="00204AE2" w:rsidRDefault="00204AE2">
      <w:pPr>
        <w:spacing w:after="0" w:line="240" w:lineRule="auto"/>
        <w:rPr>
          <w:rFonts w:ascii="Times New Roman" w:eastAsia="Calibri" w:hAnsi="Times New Roman" w:cs="Times New Roman"/>
          <w:sz w:val="24"/>
          <w:szCs w:val="24"/>
        </w:rPr>
      </w:pPr>
    </w:p>
    <w:p w14:paraId="36C0653E"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Q.39 Are there full design specifications and as-built drawings for the existing MDC, including site, floor plan, mechanical, electrical and IT data?</w:t>
      </w:r>
    </w:p>
    <w:p w14:paraId="0DF8D7C3" w14:textId="77777777" w:rsidR="00204AE2" w:rsidRDefault="00204AE2">
      <w:pPr>
        <w:spacing w:after="0" w:line="240" w:lineRule="auto"/>
        <w:rPr>
          <w:rFonts w:ascii="Times New Roman" w:eastAsia="Calibri" w:hAnsi="Times New Roman" w:cs="Times New Roman"/>
          <w:sz w:val="24"/>
          <w:szCs w:val="24"/>
        </w:rPr>
      </w:pPr>
    </w:p>
    <w:p w14:paraId="1E7A1E52" w14:textId="77777777" w:rsidR="00161193" w:rsidRDefault="00161193" w:rsidP="00161193">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6"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4DE9F865" w14:textId="77777777" w:rsidR="00204AE2" w:rsidRDefault="00204AE2">
      <w:pPr>
        <w:spacing w:after="0" w:line="240" w:lineRule="auto"/>
        <w:rPr>
          <w:rFonts w:ascii="Times New Roman" w:eastAsia="Calibri" w:hAnsi="Times New Roman" w:cs="Times New Roman"/>
          <w:sz w:val="24"/>
          <w:szCs w:val="24"/>
        </w:rPr>
      </w:pPr>
    </w:p>
    <w:p w14:paraId="23EB14E8"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Q.40 Also above specs including technical data on the existing transformer, power distribution switchgear, UPS, UPS batteries, UPS maintenance bypass, power distribution switchboards, rack PDUs, thermal PLC controls &amp; EC plug fans?</w:t>
      </w:r>
    </w:p>
    <w:p w14:paraId="0C8DD66F" w14:textId="77777777" w:rsidR="00204AE2" w:rsidRDefault="00204AE2">
      <w:pPr>
        <w:spacing w:after="0" w:line="240" w:lineRule="auto"/>
        <w:rPr>
          <w:rFonts w:ascii="Times New Roman" w:eastAsia="Calibri" w:hAnsi="Times New Roman" w:cs="Times New Roman"/>
          <w:sz w:val="24"/>
          <w:szCs w:val="24"/>
        </w:rPr>
      </w:pPr>
    </w:p>
    <w:p w14:paraId="3868251C" w14:textId="77777777" w:rsidR="00161193" w:rsidRDefault="00161193" w:rsidP="00161193">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lastRenderedPageBreak/>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7"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0E647346" w14:textId="77777777" w:rsidR="00204AE2" w:rsidRDefault="00204AE2">
      <w:pPr>
        <w:spacing w:after="0" w:line="240" w:lineRule="auto"/>
        <w:rPr>
          <w:rFonts w:ascii="Times New Roman" w:eastAsia="Calibri" w:hAnsi="Times New Roman" w:cs="Times New Roman"/>
          <w:sz w:val="24"/>
          <w:szCs w:val="24"/>
        </w:rPr>
      </w:pPr>
    </w:p>
    <w:p w14:paraId="3EA6FE93"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Q.41 What is powered by the Siemens busway installed in the ceiling in the air blending chamber? </w:t>
      </w:r>
    </w:p>
    <w:p w14:paraId="27812572" w14:textId="77777777" w:rsidR="00204AE2" w:rsidRDefault="00204AE2">
      <w:pPr>
        <w:spacing w:after="0" w:line="240" w:lineRule="auto"/>
        <w:rPr>
          <w:rFonts w:ascii="Times New Roman" w:eastAsia="Calibri" w:hAnsi="Times New Roman" w:cs="Times New Roman"/>
          <w:sz w:val="24"/>
          <w:szCs w:val="24"/>
        </w:rPr>
      </w:pPr>
    </w:p>
    <w:p w14:paraId="20864A4D" w14:textId="77777777" w:rsidR="00161193" w:rsidRDefault="00161193" w:rsidP="00161193">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8"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5ADD352D" w14:textId="77777777" w:rsidR="00204AE2" w:rsidRDefault="00204AE2">
      <w:pPr>
        <w:spacing w:after="0" w:line="240" w:lineRule="auto"/>
        <w:rPr>
          <w:rFonts w:ascii="Times New Roman" w:eastAsia="Calibri" w:hAnsi="Times New Roman" w:cs="Times New Roman"/>
          <w:sz w:val="24"/>
          <w:szCs w:val="24"/>
        </w:rPr>
      </w:pPr>
    </w:p>
    <w:p w14:paraId="734DEAF1"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Q.42 Is there technical information for the busway?</w:t>
      </w:r>
    </w:p>
    <w:p w14:paraId="0F3B1976" w14:textId="77777777" w:rsidR="00204AE2" w:rsidRDefault="00204AE2">
      <w:pPr>
        <w:spacing w:after="0" w:line="240" w:lineRule="auto"/>
        <w:rPr>
          <w:rFonts w:ascii="Times New Roman" w:eastAsia="Calibri" w:hAnsi="Times New Roman" w:cs="Times New Roman"/>
          <w:b/>
          <w:color w:val="000000"/>
          <w:sz w:val="24"/>
          <w:szCs w:val="24"/>
        </w:rPr>
      </w:pPr>
    </w:p>
    <w:p w14:paraId="694C8BB9" w14:textId="77777777" w:rsidR="007C03C9" w:rsidRDefault="007C03C9" w:rsidP="007C03C9">
      <w:pPr>
        <w:spacing w:after="0" w:line="240" w:lineRule="auto"/>
        <w:rPr>
          <w:rFonts w:ascii="Times New Roman" w:hAnsi="Times New Roman" w:cs="Times New Roman"/>
          <w:b/>
          <w:sz w:val="24"/>
          <w:szCs w:val="24"/>
        </w:rPr>
      </w:pPr>
      <w:r w:rsidRPr="00E26149">
        <w:rPr>
          <w:rFonts w:ascii="Times New Roman" w:eastAsia="Calibri" w:hAnsi="Times New Roman" w:cs="Times New Roman"/>
          <w:b/>
          <w:sz w:val="24"/>
          <w:szCs w:val="24"/>
        </w:rPr>
        <w:t xml:space="preserve">Response – </w:t>
      </w:r>
      <w:r>
        <w:rPr>
          <w:rFonts w:ascii="Times New Roman" w:eastAsia="Calibri" w:hAnsi="Times New Roman" w:cs="Times New Roman"/>
          <w:b/>
          <w:sz w:val="24"/>
          <w:szCs w:val="24"/>
        </w:rPr>
        <w:t xml:space="preserve">This question is answered in the RFP.  Reference RFP Sections 3.12, 3.13, 6.0, 6.1, 6.2, and reference drawings and manuals found at </w:t>
      </w:r>
      <w:hyperlink r:id="rId39" w:history="1">
        <w:r w:rsidRPr="00AE1554">
          <w:rPr>
            <w:rStyle w:val="Hyperlink"/>
            <w:rFonts w:ascii="Times New Roman" w:hAnsi="Times New Roman" w:cs="Times New Roman"/>
            <w:sz w:val="24"/>
            <w:szCs w:val="24"/>
          </w:rPr>
          <w:t>http://netl.doe.gov/business/site-support/de-sol-0011826</w:t>
        </w:r>
      </w:hyperlink>
      <w:r>
        <w:rPr>
          <w:rFonts w:ascii="Times New Roman" w:hAnsi="Times New Roman" w:cs="Times New Roman"/>
          <w:b/>
          <w:sz w:val="24"/>
          <w:szCs w:val="24"/>
        </w:rPr>
        <w:t>.</w:t>
      </w:r>
    </w:p>
    <w:p w14:paraId="38991977" w14:textId="77777777" w:rsidR="00204AE2" w:rsidRDefault="00204AE2">
      <w:pPr>
        <w:spacing w:after="0" w:line="240" w:lineRule="auto"/>
        <w:rPr>
          <w:rFonts w:ascii="Times New Roman" w:eastAsia="Calibri" w:hAnsi="Times New Roman" w:cs="Times New Roman"/>
          <w:sz w:val="24"/>
          <w:szCs w:val="24"/>
        </w:rPr>
      </w:pPr>
    </w:p>
    <w:p w14:paraId="6472BB3A"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Q.43 If not mentioned in the design specifications are there acceptable parameters for hot aisle and cold aisle temperatures?</w:t>
      </w:r>
    </w:p>
    <w:p w14:paraId="20858779" w14:textId="77777777" w:rsidR="00204AE2" w:rsidRDefault="00204AE2">
      <w:pPr>
        <w:spacing w:after="0" w:line="240" w:lineRule="auto"/>
        <w:rPr>
          <w:rFonts w:ascii="Times New Roman" w:eastAsia="Calibri" w:hAnsi="Times New Roman" w:cs="Times New Roman"/>
          <w:sz w:val="24"/>
          <w:szCs w:val="24"/>
        </w:rPr>
      </w:pPr>
    </w:p>
    <w:p w14:paraId="3DAAF9E9" w14:textId="77777777" w:rsidR="007C03C9" w:rsidRDefault="00161193" w:rsidP="007C03C9">
      <w:pPr>
        <w:spacing w:after="0" w:line="240" w:lineRule="auto"/>
        <w:rPr>
          <w:rFonts w:ascii="Times New Roman" w:hAnsi="Times New Roman" w:cs="Times New Roman"/>
          <w:b/>
          <w:sz w:val="24"/>
          <w:szCs w:val="24"/>
        </w:rPr>
      </w:pPr>
      <w:r w:rsidRPr="007C03C9">
        <w:rPr>
          <w:rFonts w:ascii="Times New Roman" w:eastAsia="Calibri" w:hAnsi="Times New Roman" w:cs="Times New Roman"/>
          <w:b/>
          <w:color w:val="000000"/>
          <w:sz w:val="24"/>
          <w:szCs w:val="24"/>
        </w:rPr>
        <w:t>Response</w:t>
      </w:r>
      <w:r w:rsidR="007C03C9">
        <w:rPr>
          <w:rFonts w:ascii="Times New Roman" w:eastAsia="Calibri" w:hAnsi="Times New Roman" w:cs="Times New Roman"/>
          <w:b/>
          <w:color w:val="000000"/>
          <w:sz w:val="24"/>
          <w:szCs w:val="24"/>
        </w:rPr>
        <w:t xml:space="preserve"> – Acceptable temperatures are a function of the computational and storage hardware being provided by the contractor.  For current PDC/MDC system cooling capability refer to </w:t>
      </w:r>
      <w:r w:rsidR="007C03C9">
        <w:rPr>
          <w:rFonts w:ascii="Times New Roman" w:eastAsia="Calibri" w:hAnsi="Times New Roman" w:cs="Times New Roman"/>
          <w:b/>
          <w:sz w:val="24"/>
          <w:szCs w:val="24"/>
        </w:rPr>
        <w:t xml:space="preserve">drawings and manuals found at </w:t>
      </w:r>
      <w:hyperlink r:id="rId40" w:history="1">
        <w:r w:rsidR="007C03C9" w:rsidRPr="00AE1554">
          <w:rPr>
            <w:rStyle w:val="Hyperlink"/>
            <w:rFonts w:ascii="Times New Roman" w:hAnsi="Times New Roman" w:cs="Times New Roman"/>
            <w:sz w:val="24"/>
            <w:szCs w:val="24"/>
          </w:rPr>
          <w:t>http://netl.doe.gov/business/site-support/de-sol-0011826</w:t>
        </w:r>
      </w:hyperlink>
      <w:r w:rsidR="007C03C9">
        <w:rPr>
          <w:rFonts w:ascii="Times New Roman" w:hAnsi="Times New Roman" w:cs="Times New Roman"/>
          <w:b/>
          <w:sz w:val="24"/>
          <w:szCs w:val="24"/>
        </w:rPr>
        <w:t>.</w:t>
      </w:r>
    </w:p>
    <w:p w14:paraId="63422806" w14:textId="77777777" w:rsidR="00204AE2" w:rsidRDefault="00204AE2">
      <w:pPr>
        <w:spacing w:after="0" w:line="240" w:lineRule="auto"/>
        <w:rPr>
          <w:rFonts w:ascii="Times New Roman" w:eastAsia="Calibri" w:hAnsi="Times New Roman" w:cs="Times New Roman"/>
          <w:sz w:val="24"/>
          <w:szCs w:val="24"/>
        </w:rPr>
      </w:pPr>
    </w:p>
    <w:p w14:paraId="7C0659D9"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Q.44 What are the parameters of the city water supply being provided to the modular data center?</w:t>
      </w:r>
    </w:p>
    <w:p w14:paraId="1AB1DAB6" w14:textId="77777777" w:rsidR="00204AE2" w:rsidRDefault="00204AE2">
      <w:pPr>
        <w:spacing w:after="0" w:line="240" w:lineRule="auto"/>
        <w:rPr>
          <w:rFonts w:ascii="Times New Roman" w:eastAsia="Calibri" w:hAnsi="Times New Roman" w:cs="Times New Roman"/>
          <w:sz w:val="24"/>
          <w:szCs w:val="24"/>
        </w:rPr>
      </w:pPr>
    </w:p>
    <w:p w14:paraId="34203BC7" w14:textId="77777777" w:rsidR="00204AE2" w:rsidRDefault="00161193">
      <w:pPr>
        <w:spacing w:after="0" w:line="240" w:lineRule="auto"/>
        <w:rPr>
          <w:rFonts w:ascii="Times New Roman" w:eastAsia="Calibri" w:hAnsi="Times New Roman" w:cs="Times New Roman"/>
          <w:b/>
          <w:color w:val="000000"/>
          <w:sz w:val="24"/>
          <w:szCs w:val="24"/>
        </w:rPr>
      </w:pPr>
      <w:r w:rsidRPr="005605BC">
        <w:rPr>
          <w:rFonts w:ascii="Times New Roman" w:eastAsia="Calibri" w:hAnsi="Times New Roman" w:cs="Times New Roman"/>
          <w:b/>
          <w:color w:val="000000"/>
          <w:sz w:val="24"/>
          <w:szCs w:val="24"/>
        </w:rPr>
        <w:t>Response</w:t>
      </w:r>
      <w:r w:rsidR="005605BC">
        <w:rPr>
          <w:rFonts w:ascii="Times New Roman" w:eastAsia="Calibri" w:hAnsi="Times New Roman" w:cs="Times New Roman"/>
          <w:b/>
          <w:color w:val="000000"/>
          <w:sz w:val="24"/>
          <w:szCs w:val="24"/>
        </w:rPr>
        <w:t xml:space="preserve"> – Water is provided at approximately </w:t>
      </w:r>
      <w:r w:rsidR="005D6A9B">
        <w:rPr>
          <w:rFonts w:ascii="Times New Roman" w:eastAsia="Calibri" w:hAnsi="Times New Roman" w:cs="Times New Roman"/>
          <w:b/>
          <w:color w:val="000000"/>
          <w:sz w:val="24"/>
          <w:szCs w:val="24"/>
        </w:rPr>
        <w:t>8</w:t>
      </w:r>
      <w:r w:rsidR="005605BC">
        <w:rPr>
          <w:rFonts w:ascii="Times New Roman" w:eastAsia="Calibri" w:hAnsi="Times New Roman" w:cs="Times New Roman"/>
          <w:b/>
          <w:color w:val="000000"/>
          <w:sz w:val="24"/>
          <w:szCs w:val="24"/>
        </w:rPr>
        <w:t>0 psi</w:t>
      </w:r>
      <w:r w:rsidR="00D84699">
        <w:rPr>
          <w:rFonts w:ascii="Times New Roman" w:eastAsia="Calibri" w:hAnsi="Times New Roman" w:cs="Times New Roman"/>
          <w:b/>
          <w:color w:val="000000"/>
          <w:sz w:val="24"/>
          <w:szCs w:val="24"/>
        </w:rPr>
        <w:t xml:space="preserve"> (</w:t>
      </w:r>
      <w:r w:rsidR="00B61AB6">
        <w:rPr>
          <w:rFonts w:ascii="Times New Roman" w:eastAsia="Calibri" w:hAnsi="Times New Roman" w:cs="Times New Roman"/>
          <w:b/>
          <w:color w:val="000000"/>
          <w:sz w:val="24"/>
          <w:szCs w:val="24"/>
        </w:rPr>
        <w:t>small variations with system load</w:t>
      </w:r>
      <w:r w:rsidR="00D84699">
        <w:rPr>
          <w:rFonts w:ascii="Times New Roman" w:eastAsia="Calibri" w:hAnsi="Times New Roman" w:cs="Times New Roman"/>
          <w:b/>
          <w:color w:val="000000"/>
          <w:sz w:val="24"/>
          <w:szCs w:val="24"/>
        </w:rPr>
        <w:t>)</w:t>
      </w:r>
      <w:r w:rsidR="00B61AB6">
        <w:rPr>
          <w:rFonts w:ascii="Times New Roman" w:eastAsia="Calibri" w:hAnsi="Times New Roman" w:cs="Times New Roman"/>
          <w:b/>
          <w:color w:val="000000"/>
          <w:sz w:val="24"/>
          <w:szCs w:val="24"/>
        </w:rPr>
        <w:t xml:space="preserve"> and</w:t>
      </w:r>
      <w:r w:rsidR="005D6A9B">
        <w:rPr>
          <w:rFonts w:ascii="Times New Roman" w:eastAsia="Calibri" w:hAnsi="Times New Roman" w:cs="Times New Roman"/>
          <w:b/>
          <w:color w:val="000000"/>
          <w:sz w:val="24"/>
          <w:szCs w:val="24"/>
        </w:rPr>
        <w:t xml:space="preserve"> 50 GPM.</w:t>
      </w:r>
      <w:r w:rsidR="005605BC">
        <w:rPr>
          <w:rFonts w:ascii="Times New Roman" w:eastAsia="Calibri" w:hAnsi="Times New Roman" w:cs="Times New Roman"/>
          <w:b/>
          <w:color w:val="000000"/>
          <w:sz w:val="24"/>
          <w:szCs w:val="24"/>
        </w:rPr>
        <w:t xml:space="preserve"> </w:t>
      </w:r>
      <w:r w:rsidR="005D6A9B">
        <w:rPr>
          <w:rFonts w:ascii="Times New Roman" w:eastAsia="Calibri" w:hAnsi="Times New Roman" w:cs="Times New Roman"/>
          <w:b/>
          <w:color w:val="000000"/>
          <w:sz w:val="24"/>
          <w:szCs w:val="24"/>
        </w:rPr>
        <w:t xml:space="preserve"> See attached for chemical composition.</w:t>
      </w:r>
    </w:p>
    <w:p w14:paraId="53A21BF5" w14:textId="77777777" w:rsidR="00204AE2" w:rsidRDefault="00204AE2">
      <w:pPr>
        <w:spacing w:after="0" w:line="240" w:lineRule="auto"/>
        <w:rPr>
          <w:rFonts w:ascii="Times New Roman" w:eastAsia="Calibri" w:hAnsi="Times New Roman" w:cs="Times New Roman"/>
          <w:sz w:val="24"/>
          <w:szCs w:val="24"/>
        </w:rPr>
      </w:pPr>
    </w:p>
    <w:p w14:paraId="0D17579B" w14:textId="77777777" w:rsidR="00204AE2" w:rsidRDefault="001611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Q.45 How do the compute nodes plan to access the storage nodes? What storage protocol and would there be any software used to aggregate the storage nodes together?</w:t>
      </w:r>
    </w:p>
    <w:p w14:paraId="5388815E" w14:textId="77777777" w:rsidR="00204AE2" w:rsidRDefault="00204AE2">
      <w:pPr>
        <w:spacing w:after="0" w:line="240" w:lineRule="auto"/>
        <w:rPr>
          <w:rFonts w:ascii="Times New Roman" w:eastAsia="Calibri" w:hAnsi="Times New Roman" w:cs="Times New Roman"/>
          <w:b/>
          <w:color w:val="000000"/>
          <w:sz w:val="24"/>
          <w:szCs w:val="24"/>
        </w:rPr>
      </w:pPr>
    </w:p>
    <w:p w14:paraId="36D7C57F" w14:textId="77777777" w:rsidR="00204AE2" w:rsidRDefault="00161193">
      <w:pPr>
        <w:spacing w:after="0" w:line="240" w:lineRule="auto"/>
      </w:pPr>
      <w:r>
        <w:rPr>
          <w:rFonts w:ascii="Times New Roman" w:eastAsia="Calibri" w:hAnsi="Times New Roman" w:cs="Times New Roman"/>
          <w:b/>
          <w:color w:val="000000"/>
          <w:sz w:val="24"/>
          <w:szCs w:val="24"/>
        </w:rPr>
        <w:t>Response –</w:t>
      </w:r>
      <w:r w:rsidR="0032102C">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Storage nodes will be accessed via the compute network.</w:t>
      </w:r>
    </w:p>
    <w:p w14:paraId="0EC06485" w14:textId="77777777" w:rsidR="00204AE2" w:rsidRDefault="00204AE2">
      <w:pPr>
        <w:spacing w:after="0" w:line="240" w:lineRule="auto"/>
        <w:rPr>
          <w:rFonts w:ascii="Times New Roman" w:eastAsia="Calibri" w:hAnsi="Times New Roman" w:cs="Times New Roman"/>
          <w:b/>
          <w:color w:val="000000"/>
          <w:sz w:val="24"/>
          <w:szCs w:val="24"/>
        </w:rPr>
      </w:pPr>
    </w:p>
    <w:p w14:paraId="05DCEB75" w14:textId="77777777" w:rsidR="00204AE2" w:rsidRDefault="00161193">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QUESTIONS AND RESPONSES – October 10, 2017</w:t>
      </w:r>
    </w:p>
    <w:p w14:paraId="07419045" w14:textId="77777777" w:rsidR="00204AE2" w:rsidRDefault="0016119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t xml:space="preserve">Can alternative processors be proposed?  </w:t>
      </w:r>
    </w:p>
    <w:p w14:paraId="79485359" w14:textId="77777777" w:rsidR="00204AE2" w:rsidRDefault="00204AE2">
      <w:pPr>
        <w:spacing w:after="0" w:line="240" w:lineRule="auto"/>
        <w:ind w:left="720" w:hanging="720"/>
        <w:rPr>
          <w:rFonts w:ascii="Times New Roman" w:hAnsi="Times New Roman" w:cs="Times New Roman"/>
          <w:sz w:val="24"/>
          <w:szCs w:val="24"/>
        </w:rPr>
      </w:pPr>
    </w:p>
    <w:p w14:paraId="66B26495" w14:textId="77777777" w:rsidR="00204AE2" w:rsidRDefault="00161193">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RESPONSE:  </w:t>
      </w:r>
    </w:p>
    <w:p w14:paraId="64C98DA8" w14:textId="77777777" w:rsidR="00204AE2" w:rsidRDefault="00204AE2">
      <w:pPr>
        <w:spacing w:after="0" w:line="240" w:lineRule="auto"/>
        <w:ind w:left="720" w:hanging="720"/>
        <w:rPr>
          <w:rFonts w:ascii="Times New Roman" w:hAnsi="Times New Roman" w:cs="Times New Roman"/>
          <w:b/>
          <w:sz w:val="24"/>
          <w:szCs w:val="24"/>
        </w:rPr>
      </w:pPr>
    </w:p>
    <w:p w14:paraId="234C4498" w14:textId="77777777" w:rsidR="00204AE2" w:rsidRDefault="0016119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Yes. </w:t>
      </w:r>
    </w:p>
    <w:p w14:paraId="3FF03789" w14:textId="77777777" w:rsidR="00204AE2" w:rsidRDefault="00204AE2">
      <w:pPr>
        <w:spacing w:after="0" w:line="240" w:lineRule="auto"/>
        <w:rPr>
          <w:rFonts w:ascii="Times New Roman" w:hAnsi="Times New Roman" w:cs="Times New Roman"/>
          <w:sz w:val="24"/>
          <w:szCs w:val="24"/>
        </w:rPr>
      </w:pPr>
      <w:bookmarkStart w:id="1" w:name="_GoBack"/>
      <w:bookmarkEnd w:id="1"/>
    </w:p>
    <w:p w14:paraId="7D8F6512" w14:textId="77777777" w:rsidR="00204AE2" w:rsidRDefault="0016119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Q.2</w:t>
      </w:r>
      <w:r>
        <w:rPr>
          <w:rFonts w:ascii="Times New Roman" w:hAnsi="Times New Roman" w:cs="Times New Roman"/>
          <w:sz w:val="24"/>
          <w:szCs w:val="24"/>
        </w:rPr>
        <w:tab/>
        <w:t>If we have more details of the performance, power, and cooling requirements this will allowing the responders to determine the best processors to use to meet those requirements?</w:t>
      </w:r>
    </w:p>
    <w:p w14:paraId="01256FBC" w14:textId="77777777" w:rsidR="00204AE2" w:rsidRDefault="00204AE2">
      <w:pPr>
        <w:spacing w:after="0" w:line="240" w:lineRule="auto"/>
        <w:rPr>
          <w:rFonts w:ascii="Times New Roman" w:hAnsi="Times New Roman" w:cs="Times New Roman"/>
          <w:b/>
          <w:sz w:val="24"/>
          <w:szCs w:val="24"/>
        </w:rPr>
      </w:pPr>
    </w:p>
    <w:p w14:paraId="143C2D15" w14:textId="77777777" w:rsidR="00204AE2" w:rsidRDefault="00161193">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RESPONSE:  </w:t>
      </w:r>
    </w:p>
    <w:p w14:paraId="639A316E" w14:textId="77777777" w:rsidR="00204AE2" w:rsidRDefault="00204AE2">
      <w:pPr>
        <w:spacing w:after="0" w:line="240" w:lineRule="auto"/>
        <w:ind w:left="720" w:hanging="720"/>
        <w:rPr>
          <w:rFonts w:ascii="Times New Roman" w:hAnsi="Times New Roman" w:cs="Times New Roman"/>
          <w:b/>
          <w:sz w:val="24"/>
          <w:szCs w:val="24"/>
        </w:rPr>
      </w:pPr>
    </w:p>
    <w:p w14:paraId="2D673426" w14:textId="77777777" w:rsidR="00204AE2" w:rsidRDefault="0016119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Performance, power and cooling requirements have been provided. Information is also available at  http://netl.doe.gov/business/site-support/de-sol-0011826</w:t>
      </w:r>
    </w:p>
    <w:p w14:paraId="6B48563E" w14:textId="77777777" w:rsidR="00204AE2" w:rsidRDefault="0016119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p>
    <w:p w14:paraId="51216A74" w14:textId="77777777" w:rsidR="00204AE2" w:rsidRDefault="0016119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Q.3</w:t>
      </w:r>
      <w:r>
        <w:rPr>
          <w:rFonts w:ascii="Times New Roman" w:hAnsi="Times New Roman" w:cs="Times New Roman"/>
          <w:sz w:val="24"/>
          <w:szCs w:val="24"/>
        </w:rPr>
        <w:tab/>
        <w:t>Will systems proposed using processors with slower clock speeds and a higher number of cores per processor that still meet your requirements be considered?</w:t>
      </w:r>
    </w:p>
    <w:p w14:paraId="09FDCD91" w14:textId="77777777" w:rsidR="00204AE2" w:rsidRDefault="00204AE2">
      <w:pPr>
        <w:spacing w:after="0" w:line="240" w:lineRule="auto"/>
        <w:ind w:left="720"/>
        <w:rPr>
          <w:rFonts w:ascii="Times New Roman" w:hAnsi="Times New Roman" w:cs="Times New Roman"/>
          <w:b/>
          <w:sz w:val="24"/>
          <w:szCs w:val="24"/>
        </w:rPr>
      </w:pPr>
    </w:p>
    <w:p w14:paraId="68C3FCF4" w14:textId="77777777" w:rsidR="00204AE2" w:rsidRDefault="001611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RESPONSE:  </w:t>
      </w:r>
    </w:p>
    <w:p w14:paraId="41CC0F35" w14:textId="77777777" w:rsidR="00204AE2" w:rsidRDefault="00204AE2">
      <w:pPr>
        <w:spacing w:after="0" w:line="240" w:lineRule="auto"/>
        <w:ind w:left="720"/>
        <w:rPr>
          <w:rFonts w:ascii="Times New Roman" w:hAnsi="Times New Roman" w:cs="Times New Roman"/>
          <w:b/>
          <w:sz w:val="24"/>
          <w:szCs w:val="24"/>
        </w:rPr>
      </w:pPr>
    </w:p>
    <w:p w14:paraId="4C7033AD" w14:textId="77777777" w:rsidR="00204AE2" w:rsidRDefault="0016119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Potentially, all alternative approaches will be examined and could still be viable in meeting the NETL needs.</w:t>
      </w:r>
    </w:p>
    <w:p w14:paraId="077B625F" w14:textId="77777777" w:rsidR="00204AE2" w:rsidRDefault="00204AE2">
      <w:pPr>
        <w:spacing w:after="0" w:line="240" w:lineRule="auto"/>
        <w:ind w:left="720"/>
        <w:rPr>
          <w:rFonts w:ascii="Times New Roman" w:hAnsi="Times New Roman" w:cs="Times New Roman"/>
          <w:b/>
          <w:sz w:val="24"/>
          <w:szCs w:val="24"/>
        </w:rPr>
      </w:pPr>
    </w:p>
    <w:p w14:paraId="237986EB" w14:textId="77777777" w:rsidR="00204AE2" w:rsidRDefault="00204AE2">
      <w:pPr>
        <w:spacing w:after="0" w:line="240" w:lineRule="auto"/>
        <w:ind w:left="720"/>
        <w:rPr>
          <w:rFonts w:ascii="Times New Roman" w:hAnsi="Times New Roman" w:cs="Times New Roman"/>
          <w:b/>
          <w:sz w:val="24"/>
          <w:szCs w:val="24"/>
        </w:rPr>
      </w:pPr>
    </w:p>
    <w:p w14:paraId="0839A5E3" w14:textId="77777777" w:rsidR="00204AE2" w:rsidRDefault="0016119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Q.4</w:t>
      </w:r>
      <w:r>
        <w:rPr>
          <w:rFonts w:ascii="Times New Roman" w:hAnsi="Times New Roman" w:cs="Times New Roman"/>
          <w:sz w:val="24"/>
          <w:szCs w:val="24"/>
        </w:rPr>
        <w:tab/>
        <w:t>Likewise, will systems with higher watts per processor that meet your requirements and reduce the overall wattage required be considered?</w:t>
      </w:r>
    </w:p>
    <w:p w14:paraId="269DB801" w14:textId="77777777" w:rsidR="00204AE2" w:rsidRDefault="00204AE2">
      <w:pPr>
        <w:spacing w:after="0" w:line="240" w:lineRule="auto"/>
        <w:ind w:left="720"/>
        <w:rPr>
          <w:rFonts w:ascii="Times New Roman" w:hAnsi="Times New Roman" w:cs="Times New Roman"/>
          <w:b/>
          <w:sz w:val="24"/>
          <w:szCs w:val="24"/>
        </w:rPr>
      </w:pPr>
    </w:p>
    <w:p w14:paraId="0BA8BD3B" w14:textId="77777777" w:rsidR="00204AE2" w:rsidRDefault="001611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RESPONSE:  </w:t>
      </w:r>
    </w:p>
    <w:p w14:paraId="6370431E" w14:textId="77777777" w:rsidR="00204AE2" w:rsidRDefault="00204AE2">
      <w:pPr>
        <w:spacing w:after="0" w:line="240" w:lineRule="auto"/>
        <w:ind w:left="720"/>
        <w:rPr>
          <w:rFonts w:ascii="Times New Roman" w:hAnsi="Times New Roman" w:cs="Times New Roman"/>
          <w:b/>
          <w:sz w:val="24"/>
          <w:szCs w:val="24"/>
        </w:rPr>
      </w:pPr>
    </w:p>
    <w:p w14:paraId="64CBC910" w14:textId="77777777" w:rsidR="00204AE2" w:rsidRDefault="0016119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Yes.</w:t>
      </w:r>
    </w:p>
    <w:p w14:paraId="78ED4B9E" w14:textId="77777777" w:rsidR="00204AE2" w:rsidRDefault="00204AE2">
      <w:pPr>
        <w:spacing w:after="0" w:line="240" w:lineRule="auto"/>
        <w:ind w:left="720"/>
        <w:rPr>
          <w:rFonts w:ascii="Times New Roman" w:hAnsi="Times New Roman" w:cs="Times New Roman"/>
          <w:b/>
          <w:sz w:val="24"/>
          <w:szCs w:val="24"/>
        </w:rPr>
      </w:pPr>
    </w:p>
    <w:p w14:paraId="427AE050" w14:textId="77777777" w:rsidR="00204AE2" w:rsidRDefault="00161193">
      <w:pPr>
        <w:spacing w:after="0" w:line="240" w:lineRule="auto"/>
        <w:rPr>
          <w:rFonts w:ascii="Times New Roman" w:hAnsi="Times New Roman" w:cs="Times New Roman"/>
          <w:sz w:val="24"/>
          <w:szCs w:val="24"/>
        </w:rPr>
      </w:pPr>
      <w:r>
        <w:rPr>
          <w:rFonts w:ascii="Times New Roman" w:hAnsi="Times New Roman" w:cs="Times New Roman"/>
          <w:sz w:val="24"/>
          <w:szCs w:val="24"/>
        </w:rPr>
        <w:t>Q.5</w:t>
      </w:r>
      <w:r>
        <w:rPr>
          <w:rFonts w:ascii="Times New Roman" w:hAnsi="Times New Roman" w:cs="Times New Roman"/>
          <w:sz w:val="24"/>
          <w:szCs w:val="24"/>
        </w:rPr>
        <w:tab/>
        <w:t>Would it be possible to advise on specific time we should expect the site-visit to occur?</w:t>
      </w:r>
    </w:p>
    <w:p w14:paraId="7EFC36E6" w14:textId="77777777" w:rsidR="00204AE2" w:rsidRDefault="00204AE2">
      <w:pPr>
        <w:spacing w:after="0" w:line="240" w:lineRule="auto"/>
        <w:ind w:left="720"/>
        <w:rPr>
          <w:rFonts w:ascii="Times New Roman" w:hAnsi="Times New Roman" w:cs="Times New Roman"/>
          <w:b/>
          <w:sz w:val="24"/>
          <w:szCs w:val="24"/>
        </w:rPr>
      </w:pPr>
    </w:p>
    <w:p w14:paraId="2CD30D97" w14:textId="77777777" w:rsidR="00204AE2" w:rsidRDefault="001611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RESPONSE:  </w:t>
      </w:r>
    </w:p>
    <w:p w14:paraId="37BD3365" w14:textId="77777777" w:rsidR="00204AE2" w:rsidRDefault="00204AE2">
      <w:pPr>
        <w:spacing w:after="0" w:line="240" w:lineRule="auto"/>
        <w:rPr>
          <w:rFonts w:ascii="Times New Roman" w:hAnsi="Times New Roman" w:cs="Times New Roman"/>
          <w:b/>
          <w:sz w:val="24"/>
          <w:szCs w:val="24"/>
        </w:rPr>
      </w:pPr>
    </w:p>
    <w:p w14:paraId="706985DA" w14:textId="77777777" w:rsidR="00204AE2" w:rsidRDefault="00161193">
      <w:pPr>
        <w:spacing w:after="0" w:line="240" w:lineRule="auto"/>
      </w:pPr>
      <w:r>
        <w:rPr>
          <w:rFonts w:ascii="Times New Roman" w:hAnsi="Times New Roman" w:cs="Times New Roman"/>
          <w:b/>
          <w:sz w:val="24"/>
          <w:szCs w:val="24"/>
        </w:rPr>
        <w:t>1-3 EST on Thursday October 12,2017.</w:t>
      </w:r>
    </w:p>
    <w:sectPr w:rsidR="00204AE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E2"/>
    <w:rsid w:val="000742D6"/>
    <w:rsid w:val="000767EA"/>
    <w:rsid w:val="0010727B"/>
    <w:rsid w:val="00161193"/>
    <w:rsid w:val="00165CC0"/>
    <w:rsid w:val="001A4F56"/>
    <w:rsid w:val="001D10C5"/>
    <w:rsid w:val="00204AE2"/>
    <w:rsid w:val="00240F25"/>
    <w:rsid w:val="002C1896"/>
    <w:rsid w:val="00304182"/>
    <w:rsid w:val="0032102C"/>
    <w:rsid w:val="0033305B"/>
    <w:rsid w:val="003A5AC0"/>
    <w:rsid w:val="004166DD"/>
    <w:rsid w:val="00436C8C"/>
    <w:rsid w:val="005605BC"/>
    <w:rsid w:val="005B5E3E"/>
    <w:rsid w:val="005D6A9B"/>
    <w:rsid w:val="006000C8"/>
    <w:rsid w:val="00685D57"/>
    <w:rsid w:val="00716E25"/>
    <w:rsid w:val="007C03C9"/>
    <w:rsid w:val="008A6AF0"/>
    <w:rsid w:val="00903E8A"/>
    <w:rsid w:val="009C084B"/>
    <w:rsid w:val="00A04A91"/>
    <w:rsid w:val="00A87C11"/>
    <w:rsid w:val="00AE2BFB"/>
    <w:rsid w:val="00AF66B8"/>
    <w:rsid w:val="00B41F5D"/>
    <w:rsid w:val="00B61AB6"/>
    <w:rsid w:val="00CA1952"/>
    <w:rsid w:val="00CB17ED"/>
    <w:rsid w:val="00D617CE"/>
    <w:rsid w:val="00D84699"/>
    <w:rsid w:val="00D939D1"/>
    <w:rsid w:val="00E133D0"/>
    <w:rsid w:val="00E2614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7CB0"/>
  <w15:docId w15:val="{1B76EB37-1128-4ECE-80B8-84892010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98"/>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9374B"/>
    <w:rPr>
      <w:sz w:val="16"/>
      <w:szCs w:val="16"/>
    </w:rPr>
  </w:style>
  <w:style w:type="character" w:customStyle="1" w:styleId="CommentTextChar">
    <w:name w:val="Comment Text Char"/>
    <w:basedOn w:val="DefaultParagraphFont"/>
    <w:link w:val="CommentText"/>
    <w:uiPriority w:val="99"/>
    <w:semiHidden/>
    <w:qFormat/>
    <w:rsid w:val="0019374B"/>
    <w:rPr>
      <w:sz w:val="20"/>
      <w:szCs w:val="20"/>
    </w:rPr>
  </w:style>
  <w:style w:type="character" w:customStyle="1" w:styleId="CommentSubjectChar">
    <w:name w:val="Comment Subject Char"/>
    <w:basedOn w:val="CommentTextChar"/>
    <w:link w:val="CommentSubject"/>
    <w:uiPriority w:val="99"/>
    <w:semiHidden/>
    <w:qFormat/>
    <w:rsid w:val="0019374B"/>
    <w:rPr>
      <w:b/>
      <w:bCs/>
      <w:sz w:val="20"/>
      <w:szCs w:val="20"/>
    </w:rPr>
  </w:style>
  <w:style w:type="character" w:customStyle="1" w:styleId="BalloonTextChar">
    <w:name w:val="Balloon Text Char"/>
    <w:basedOn w:val="DefaultParagraphFont"/>
    <w:link w:val="BalloonText"/>
    <w:uiPriority w:val="99"/>
    <w:semiHidden/>
    <w:qFormat/>
    <w:rsid w:val="0019374B"/>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19374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9374B"/>
    <w:rPr>
      <w:b/>
      <w:bCs/>
    </w:rPr>
  </w:style>
  <w:style w:type="paragraph" w:styleId="BalloonText">
    <w:name w:val="Balloon Text"/>
    <w:basedOn w:val="Normal"/>
    <w:link w:val="BalloonTextChar"/>
    <w:uiPriority w:val="99"/>
    <w:semiHidden/>
    <w:unhideWhenUsed/>
    <w:qFormat/>
    <w:rsid w:val="0019374B"/>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E2BFB"/>
    <w:rPr>
      <w:color w:val="0000FF" w:themeColor="hyperlink"/>
      <w:u w:val="single"/>
    </w:rPr>
  </w:style>
  <w:style w:type="character" w:styleId="UnresolvedMention">
    <w:name w:val="Unresolved Mention"/>
    <w:basedOn w:val="DefaultParagraphFont"/>
    <w:uiPriority w:val="99"/>
    <w:semiHidden/>
    <w:unhideWhenUsed/>
    <w:rsid w:val="00AE2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etl.doe.gov/business/site-support/de-sol-0011826" TargetMode="External"/><Relationship Id="rId13" Type="http://schemas.openxmlformats.org/officeDocument/2006/relationships/hyperlink" Target="http://netl.doe.gov/business/site-support/de-sol-0011826" TargetMode="External"/><Relationship Id="rId18" Type="http://schemas.openxmlformats.org/officeDocument/2006/relationships/hyperlink" Target="http://netl.doe.gov/business/site-support/de-sol-0011826" TargetMode="External"/><Relationship Id="rId26" Type="http://schemas.openxmlformats.org/officeDocument/2006/relationships/hyperlink" Target="http://netl.doe.gov/business/site-support/de-sol-0011826" TargetMode="External"/><Relationship Id="rId39" Type="http://schemas.openxmlformats.org/officeDocument/2006/relationships/hyperlink" Target="http://netl.doe.gov/business/site-support/de-sol-0011826" TargetMode="External"/><Relationship Id="rId3" Type="http://schemas.openxmlformats.org/officeDocument/2006/relationships/webSettings" Target="webSettings.xml"/><Relationship Id="rId21" Type="http://schemas.openxmlformats.org/officeDocument/2006/relationships/hyperlink" Target="http://netl.doe.gov/business/site-support/de-sol-0011826" TargetMode="External"/><Relationship Id="rId34" Type="http://schemas.openxmlformats.org/officeDocument/2006/relationships/hyperlink" Target="http://netl.doe.gov/business/site-support/de-sol-0011826" TargetMode="External"/><Relationship Id="rId42" Type="http://schemas.openxmlformats.org/officeDocument/2006/relationships/theme" Target="theme/theme1.xml"/><Relationship Id="rId7" Type="http://schemas.openxmlformats.org/officeDocument/2006/relationships/hyperlink" Target="http://netl.doe.gov/business/site-support/de-sol-0011826" TargetMode="External"/><Relationship Id="rId12" Type="http://schemas.openxmlformats.org/officeDocument/2006/relationships/hyperlink" Target="http://netl.doe.gov/business/site-support/de-sol-0011826" TargetMode="External"/><Relationship Id="rId17" Type="http://schemas.openxmlformats.org/officeDocument/2006/relationships/hyperlink" Target="http://netl.doe.gov/business/site-support/de-sol-0011826" TargetMode="External"/><Relationship Id="rId25" Type="http://schemas.openxmlformats.org/officeDocument/2006/relationships/hyperlink" Target="http://netl.doe.gov/business/site-support/de-sol-0011826" TargetMode="External"/><Relationship Id="rId33" Type="http://schemas.openxmlformats.org/officeDocument/2006/relationships/hyperlink" Target="http://netl.doe.gov/business/site-support/de-sol-0011826" TargetMode="External"/><Relationship Id="rId38" Type="http://schemas.openxmlformats.org/officeDocument/2006/relationships/hyperlink" Target="http://netl.doe.gov/business/site-support/de-sol-0011826" TargetMode="External"/><Relationship Id="rId2" Type="http://schemas.openxmlformats.org/officeDocument/2006/relationships/settings" Target="settings.xml"/><Relationship Id="rId16" Type="http://schemas.openxmlformats.org/officeDocument/2006/relationships/hyperlink" Target="http://netl.doe.gov/business/site-support/de-sol-0011826" TargetMode="External"/><Relationship Id="rId20" Type="http://schemas.openxmlformats.org/officeDocument/2006/relationships/hyperlink" Target="http://netl.doe.gov/business/site-support/de-sol-0011826" TargetMode="External"/><Relationship Id="rId29" Type="http://schemas.openxmlformats.org/officeDocument/2006/relationships/hyperlink" Target="http://netl.doe.gov/business/site-support/de-sol-001182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tl.doe.gov/business/site-support/de-sol-0011826" TargetMode="External"/><Relationship Id="rId11" Type="http://schemas.openxmlformats.org/officeDocument/2006/relationships/hyperlink" Target="http://netl.doe.gov/business/site-support/de-sol-0011826" TargetMode="External"/><Relationship Id="rId24" Type="http://schemas.openxmlformats.org/officeDocument/2006/relationships/hyperlink" Target="http://netl.doe.gov/business/site-support/de-sol-0011826" TargetMode="External"/><Relationship Id="rId32" Type="http://schemas.openxmlformats.org/officeDocument/2006/relationships/hyperlink" Target="http://netl.doe.gov/business/site-support/de-sol-0011826" TargetMode="External"/><Relationship Id="rId37" Type="http://schemas.openxmlformats.org/officeDocument/2006/relationships/hyperlink" Target="http://netl.doe.gov/business/site-support/de-sol-0011826" TargetMode="External"/><Relationship Id="rId40" Type="http://schemas.openxmlformats.org/officeDocument/2006/relationships/hyperlink" Target="http://netl.doe.gov/business/site-support/de-sol-0011826" TargetMode="External"/><Relationship Id="rId5" Type="http://schemas.openxmlformats.org/officeDocument/2006/relationships/hyperlink" Target="http://netl.doe.gov/business/site-support/de-sol-0011826" TargetMode="External"/><Relationship Id="rId15" Type="http://schemas.openxmlformats.org/officeDocument/2006/relationships/hyperlink" Target="http://netl.doe.gov/business/site-support/de-sol-0011826" TargetMode="External"/><Relationship Id="rId23" Type="http://schemas.openxmlformats.org/officeDocument/2006/relationships/hyperlink" Target="http://netl.doe.gov/business/site-support/de-sol-0011826" TargetMode="External"/><Relationship Id="rId28" Type="http://schemas.openxmlformats.org/officeDocument/2006/relationships/hyperlink" Target="http://netl.doe.gov/business/site-support/de-sol-0011826" TargetMode="External"/><Relationship Id="rId36" Type="http://schemas.openxmlformats.org/officeDocument/2006/relationships/hyperlink" Target="http://netl.doe.gov/business/site-support/de-sol-0011826" TargetMode="External"/><Relationship Id="rId10" Type="http://schemas.openxmlformats.org/officeDocument/2006/relationships/hyperlink" Target="http://netl.doe.gov/business/site-support/de-sol-0011826" TargetMode="External"/><Relationship Id="rId19" Type="http://schemas.openxmlformats.org/officeDocument/2006/relationships/hyperlink" Target="http://netl.doe.gov/business/site-support/de-sol-0011826" TargetMode="External"/><Relationship Id="rId31" Type="http://schemas.openxmlformats.org/officeDocument/2006/relationships/hyperlink" Target="http://netl.doe.gov/business/site-support/de-sol-0011826" TargetMode="External"/><Relationship Id="rId4" Type="http://schemas.openxmlformats.org/officeDocument/2006/relationships/hyperlink" Target="http://netl.doe.gov/business/site-support/de-sol-0011826" TargetMode="External"/><Relationship Id="rId9" Type="http://schemas.openxmlformats.org/officeDocument/2006/relationships/hyperlink" Target="http://netl.doe.gov/business/site-support/de-sol-0011826" TargetMode="External"/><Relationship Id="rId14" Type="http://schemas.openxmlformats.org/officeDocument/2006/relationships/hyperlink" Target="http://netl.doe.gov/business/site-support/de-sol-0011826" TargetMode="External"/><Relationship Id="rId22" Type="http://schemas.openxmlformats.org/officeDocument/2006/relationships/hyperlink" Target="http://netl.doe.gov/business/site-support/de-sol-0011826" TargetMode="External"/><Relationship Id="rId27" Type="http://schemas.openxmlformats.org/officeDocument/2006/relationships/hyperlink" Target="http://netl.doe.gov/business/site-support/de-sol-0011826" TargetMode="External"/><Relationship Id="rId30" Type="http://schemas.openxmlformats.org/officeDocument/2006/relationships/hyperlink" Target="http://netl.doe.gov/business/site-support/de-sol-0011826" TargetMode="External"/><Relationship Id="rId35" Type="http://schemas.openxmlformats.org/officeDocument/2006/relationships/hyperlink" Target="http://netl.doe.gov/business/site-support/de-sol-001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Lemasters, George M. </dc:creator>
  <dc:description/>
  <cp:lastModifiedBy>George Lemasters</cp:lastModifiedBy>
  <cp:revision>3</cp:revision>
  <dcterms:created xsi:type="dcterms:W3CDTF">2017-10-23T14:13:00Z</dcterms:created>
  <dcterms:modified xsi:type="dcterms:W3CDTF">2017-10-24T11:04:00Z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NETL DoE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