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285" w:rsidRPr="00362285" w:rsidRDefault="00244ABD" w:rsidP="0065159C">
      <w:pPr>
        <w:spacing w:after="0" w:line="240" w:lineRule="auto"/>
        <w:jc w:val="center"/>
        <w:rPr>
          <w:rFonts w:asciiTheme="minorHAnsi" w:hAnsiTheme="minorHAnsi"/>
          <w:b/>
          <w:sz w:val="28"/>
          <w:szCs w:val="28"/>
        </w:rPr>
      </w:pPr>
      <w:r w:rsidRPr="00362285">
        <w:rPr>
          <w:rFonts w:asciiTheme="minorHAnsi" w:hAnsiTheme="minorHAnsi"/>
          <w:b/>
          <w:sz w:val="28"/>
          <w:szCs w:val="28"/>
        </w:rPr>
        <w:t xml:space="preserve">Crystallographic structure and stability of Pt-substituted </w:t>
      </w:r>
    </w:p>
    <w:p w:rsidR="00244ABD" w:rsidRPr="00362285" w:rsidRDefault="00244ABD" w:rsidP="0065159C">
      <w:pPr>
        <w:spacing w:after="0" w:line="240" w:lineRule="auto"/>
        <w:jc w:val="center"/>
        <w:rPr>
          <w:rFonts w:asciiTheme="minorHAnsi" w:hAnsiTheme="minorHAnsi"/>
          <w:b/>
          <w:sz w:val="28"/>
          <w:szCs w:val="28"/>
        </w:rPr>
      </w:pPr>
      <w:r w:rsidRPr="00362285">
        <w:rPr>
          <w:rFonts w:asciiTheme="minorHAnsi" w:hAnsiTheme="minorHAnsi"/>
          <w:b/>
          <w:sz w:val="28"/>
          <w:szCs w:val="28"/>
        </w:rPr>
        <w:t xml:space="preserve">LSCo electrocatalyst </w:t>
      </w:r>
      <w:r w:rsidR="00580929" w:rsidRPr="00362285">
        <w:rPr>
          <w:rFonts w:asciiTheme="minorHAnsi" w:hAnsiTheme="minorHAnsi"/>
          <w:b/>
          <w:sz w:val="28"/>
          <w:szCs w:val="28"/>
        </w:rPr>
        <w:t>for SOFC cathode</w:t>
      </w:r>
    </w:p>
    <w:p w:rsidR="00362285" w:rsidRPr="003A1133" w:rsidRDefault="00362285" w:rsidP="00362285">
      <w:pPr>
        <w:spacing w:after="0" w:line="240" w:lineRule="auto"/>
        <w:jc w:val="center"/>
        <w:rPr>
          <w:rFonts w:asciiTheme="minorHAnsi" w:hAnsiTheme="minorHAnsi"/>
        </w:rPr>
      </w:pPr>
    </w:p>
    <w:p w:rsidR="00244ABD" w:rsidRPr="00362285" w:rsidRDefault="00362285" w:rsidP="00362285">
      <w:pPr>
        <w:spacing w:after="0" w:line="240" w:lineRule="auto"/>
        <w:jc w:val="center"/>
        <w:rPr>
          <w:rFonts w:asciiTheme="minorHAnsi" w:hAnsiTheme="minorHAnsi"/>
        </w:rPr>
      </w:pPr>
      <w:r w:rsidRPr="003A1133">
        <w:rPr>
          <w:rFonts w:asciiTheme="minorHAnsi" w:hAnsiTheme="minorHAnsi"/>
          <w:b/>
          <w:u w:val="single"/>
        </w:rPr>
        <w:t>National Energy Technology Laboratory-West Virginia University</w:t>
      </w:r>
    </w:p>
    <w:p w:rsidR="00244ABD" w:rsidRPr="00362285" w:rsidRDefault="00244ABD" w:rsidP="005A3A9D">
      <w:pPr>
        <w:spacing w:after="0" w:line="240" w:lineRule="auto"/>
        <w:jc w:val="center"/>
        <w:outlineLvl w:val="0"/>
        <w:rPr>
          <w:rFonts w:asciiTheme="minorHAnsi" w:hAnsiTheme="minorHAnsi"/>
          <w:bCs/>
          <w:iCs/>
        </w:rPr>
      </w:pPr>
      <w:r w:rsidRPr="00362285">
        <w:rPr>
          <w:rFonts w:asciiTheme="minorHAnsi" w:hAnsiTheme="minorHAnsi"/>
          <w:bCs/>
          <w:iCs/>
          <w:u w:val="single"/>
        </w:rPr>
        <w:t>Shiwoo Lee</w:t>
      </w:r>
      <w:r w:rsidRPr="00362285">
        <w:rPr>
          <w:rFonts w:asciiTheme="minorHAnsi" w:hAnsiTheme="minorHAnsi"/>
          <w:bCs/>
          <w:iCs/>
          <w:u w:val="single"/>
          <w:vertAlign w:val="superscript"/>
        </w:rPr>
        <w:t>1</w:t>
      </w:r>
      <w:r w:rsidRPr="00362285">
        <w:rPr>
          <w:rFonts w:asciiTheme="minorHAnsi" w:hAnsiTheme="minorHAnsi"/>
          <w:bCs/>
          <w:iCs/>
        </w:rPr>
        <w:t>, Yun Chen</w:t>
      </w:r>
      <w:r w:rsidRPr="00362285">
        <w:rPr>
          <w:rFonts w:asciiTheme="minorHAnsi" w:hAnsiTheme="minorHAnsi"/>
          <w:bCs/>
          <w:iCs/>
          <w:vertAlign w:val="superscript"/>
        </w:rPr>
        <w:t>1,2</w:t>
      </w:r>
      <w:r w:rsidRPr="00362285">
        <w:rPr>
          <w:rFonts w:asciiTheme="minorHAnsi" w:hAnsiTheme="minorHAnsi"/>
          <w:bCs/>
          <w:iCs/>
        </w:rPr>
        <w:t>, Xueyan Song</w:t>
      </w:r>
      <w:r w:rsidRPr="00362285">
        <w:rPr>
          <w:rFonts w:asciiTheme="minorHAnsi" w:hAnsiTheme="minorHAnsi"/>
          <w:bCs/>
          <w:iCs/>
          <w:vertAlign w:val="superscript"/>
        </w:rPr>
        <w:t>1,2</w:t>
      </w:r>
      <w:r w:rsidRPr="00362285">
        <w:rPr>
          <w:rFonts w:asciiTheme="minorHAnsi" w:hAnsiTheme="minorHAnsi"/>
          <w:bCs/>
          <w:iCs/>
        </w:rPr>
        <w:t>, Kirk Gerdes</w:t>
      </w:r>
      <w:r w:rsidRPr="00362285">
        <w:rPr>
          <w:rFonts w:asciiTheme="minorHAnsi" w:hAnsiTheme="minorHAnsi"/>
          <w:bCs/>
          <w:iCs/>
          <w:vertAlign w:val="superscript"/>
        </w:rPr>
        <w:t>1</w:t>
      </w:r>
    </w:p>
    <w:p w:rsidR="00362285" w:rsidRPr="003A1133" w:rsidRDefault="00362285" w:rsidP="00362285">
      <w:pPr>
        <w:spacing w:after="0" w:line="240" w:lineRule="auto"/>
        <w:jc w:val="center"/>
        <w:outlineLvl w:val="0"/>
        <w:rPr>
          <w:rFonts w:asciiTheme="minorHAnsi" w:hAnsiTheme="minorHAnsi"/>
        </w:rPr>
      </w:pPr>
      <w:r w:rsidRPr="003A1133">
        <w:rPr>
          <w:rFonts w:asciiTheme="minorHAnsi" w:hAnsiTheme="minorHAnsi"/>
          <w:vertAlign w:val="superscript"/>
        </w:rPr>
        <w:t>1</w:t>
      </w:r>
      <w:r w:rsidRPr="003A1133">
        <w:rPr>
          <w:rFonts w:asciiTheme="minorHAnsi" w:hAnsiTheme="minorHAnsi"/>
        </w:rPr>
        <w:t>U.S. DOE/National Energy Technology Laboratory</w:t>
      </w:r>
    </w:p>
    <w:p w:rsidR="00244ABD" w:rsidRPr="00362285" w:rsidRDefault="00244ABD" w:rsidP="005A3A9D">
      <w:pPr>
        <w:spacing w:after="0" w:line="240" w:lineRule="auto"/>
        <w:jc w:val="center"/>
        <w:outlineLvl w:val="0"/>
        <w:rPr>
          <w:rFonts w:asciiTheme="minorHAnsi" w:hAnsiTheme="minorHAnsi"/>
        </w:rPr>
      </w:pPr>
      <w:r w:rsidRPr="00362285">
        <w:rPr>
          <w:rFonts w:asciiTheme="minorHAnsi" w:hAnsiTheme="minorHAnsi"/>
          <w:vertAlign w:val="superscript"/>
        </w:rPr>
        <w:t>2</w:t>
      </w:r>
      <w:r w:rsidRPr="00362285">
        <w:rPr>
          <w:rFonts w:asciiTheme="minorHAnsi" w:hAnsiTheme="minorHAnsi"/>
        </w:rPr>
        <w:t>West Virginia University</w:t>
      </w:r>
    </w:p>
    <w:p w:rsidR="00244ABD" w:rsidRPr="00362285" w:rsidRDefault="00362285" w:rsidP="007A4373">
      <w:pPr>
        <w:spacing w:after="0" w:line="240" w:lineRule="auto"/>
        <w:jc w:val="center"/>
        <w:rPr>
          <w:rFonts w:asciiTheme="minorHAnsi" w:hAnsiTheme="minorHAnsi"/>
        </w:rPr>
      </w:pPr>
      <w:r>
        <w:rPr>
          <w:rFonts w:asciiTheme="minorHAnsi" w:hAnsiTheme="minorHAnsi"/>
          <w:bCs/>
          <w:iCs/>
        </w:rPr>
        <w:t xml:space="preserve">e-mail: </w:t>
      </w:r>
      <w:hyperlink r:id="rId5" w:history="1">
        <w:r w:rsidRPr="00362285">
          <w:rPr>
            <w:rStyle w:val="Hyperlink"/>
            <w:rFonts w:asciiTheme="minorHAnsi" w:hAnsiTheme="minorHAnsi"/>
            <w:bCs/>
            <w:iCs/>
          </w:rPr>
          <w:t>leesn@netl.doe.gov</w:t>
        </w:r>
      </w:hyperlink>
      <w:r>
        <w:rPr>
          <w:rFonts w:asciiTheme="minorHAnsi" w:hAnsiTheme="minorHAnsi"/>
        </w:rPr>
        <w:t xml:space="preserve"> </w:t>
      </w:r>
      <w:r w:rsidRPr="00362285">
        <w:rPr>
          <w:rFonts w:asciiTheme="minorHAnsi" w:hAnsiTheme="minorHAnsi"/>
          <w:bCs/>
          <w:iCs/>
        </w:rPr>
        <w:t>Phone: (304) 285-4594</w:t>
      </w:r>
      <w:r w:rsidRPr="00362285">
        <w:rPr>
          <w:rFonts w:asciiTheme="minorHAnsi" w:hAnsiTheme="minorHAnsi"/>
        </w:rPr>
        <w:t xml:space="preserve"> </w:t>
      </w:r>
    </w:p>
    <w:p w:rsidR="00244ABD" w:rsidRPr="00362285" w:rsidRDefault="00244ABD" w:rsidP="007A4373">
      <w:pPr>
        <w:spacing w:after="0" w:line="240" w:lineRule="auto"/>
        <w:rPr>
          <w:rFonts w:asciiTheme="minorHAnsi" w:hAnsiTheme="minorHAnsi"/>
          <w:bCs/>
          <w:iCs/>
        </w:rPr>
      </w:pPr>
    </w:p>
    <w:p w:rsidR="00244ABD" w:rsidRPr="00362285" w:rsidRDefault="00244ABD" w:rsidP="007A4373">
      <w:pPr>
        <w:spacing w:after="0" w:line="240" w:lineRule="auto"/>
        <w:rPr>
          <w:rFonts w:asciiTheme="minorHAnsi" w:hAnsiTheme="minorHAnsi"/>
          <w:bCs/>
          <w:iCs/>
        </w:rPr>
      </w:pPr>
      <w:r w:rsidRPr="00362285">
        <w:rPr>
          <w:rFonts w:asciiTheme="minorHAnsi" w:hAnsiTheme="minorHAnsi"/>
          <w:bCs/>
          <w:iCs/>
        </w:rPr>
        <w:t>The NETL-RUA (Regional University Alliance) Fuel Cell team has demonstrated that infiltration of commercial SOFC cathode with oxide electrocatalysts significantly improves cell performance without degrading temporal stability. The electrocatalyst with the particle size of several tens of nanometers, distributed over a cathode active layer, is regarded to effectively increase the population of triple phase boundaries (TPBs) where oxygen reduction reaction occurs. The conceptually simple but structurally sophisticated surface-modifying technique has been successfully upgraded to application for large area cathode with various structure and composition.</w:t>
      </w:r>
    </w:p>
    <w:p w:rsidR="00244ABD" w:rsidRPr="00362285" w:rsidRDefault="00244ABD" w:rsidP="007A4373">
      <w:pPr>
        <w:spacing w:after="0" w:line="240" w:lineRule="auto"/>
        <w:rPr>
          <w:rFonts w:asciiTheme="minorHAnsi" w:hAnsiTheme="minorHAnsi"/>
          <w:bCs/>
          <w:iCs/>
        </w:rPr>
      </w:pPr>
    </w:p>
    <w:p w:rsidR="00244ABD" w:rsidRPr="00362285" w:rsidRDefault="00244ABD" w:rsidP="007A4373">
      <w:pPr>
        <w:spacing w:after="0" w:line="240" w:lineRule="auto"/>
        <w:rPr>
          <w:rFonts w:asciiTheme="minorHAnsi" w:hAnsiTheme="minorHAnsi"/>
          <w:bCs/>
          <w:iCs/>
        </w:rPr>
      </w:pPr>
      <w:r w:rsidRPr="00362285">
        <w:rPr>
          <w:rFonts w:asciiTheme="minorHAnsi" w:hAnsiTheme="minorHAnsi"/>
          <w:bCs/>
          <w:iCs/>
        </w:rPr>
        <w:t xml:space="preserve">As the extended effort of the research and development, we considered a novel electrocatalyst, Pt-substituted LSCo </w:t>
      </w:r>
      <w:r w:rsidRPr="00362285">
        <w:rPr>
          <w:rFonts w:asciiTheme="minorHAnsi" w:hAnsiTheme="minorHAnsi"/>
        </w:rPr>
        <w:t>(La</w:t>
      </w:r>
      <w:r w:rsidRPr="00362285">
        <w:rPr>
          <w:rFonts w:asciiTheme="minorHAnsi" w:hAnsiTheme="minorHAnsi"/>
          <w:vertAlign w:val="subscript"/>
        </w:rPr>
        <w:t>0.6</w:t>
      </w:r>
      <w:r w:rsidRPr="00362285">
        <w:rPr>
          <w:rFonts w:asciiTheme="minorHAnsi" w:hAnsiTheme="minorHAnsi"/>
        </w:rPr>
        <w:t>Sr</w:t>
      </w:r>
      <w:r w:rsidRPr="00362285">
        <w:rPr>
          <w:rFonts w:asciiTheme="minorHAnsi" w:hAnsiTheme="minorHAnsi"/>
          <w:vertAlign w:val="subscript"/>
        </w:rPr>
        <w:t>0.4</w:t>
      </w:r>
      <w:r w:rsidRPr="00362285">
        <w:rPr>
          <w:rFonts w:asciiTheme="minorHAnsi" w:hAnsiTheme="minorHAnsi"/>
        </w:rPr>
        <w:t>CoO</w:t>
      </w:r>
      <w:r w:rsidRPr="00362285">
        <w:rPr>
          <w:rFonts w:asciiTheme="minorHAnsi" w:hAnsiTheme="minorHAnsi"/>
          <w:vertAlign w:val="subscript"/>
        </w:rPr>
        <w:t>3-</w:t>
      </w:r>
      <w:r w:rsidRPr="00362285">
        <w:rPr>
          <w:rFonts w:asciiTheme="minorHAnsi" w:hAnsiTheme="minorHAnsi"/>
          <w:vertAlign w:val="subscript"/>
        </w:rPr>
        <w:t></w:t>
      </w:r>
      <w:r w:rsidRPr="00362285">
        <w:rPr>
          <w:rFonts w:asciiTheme="minorHAnsi" w:hAnsiTheme="minorHAnsi"/>
        </w:rPr>
        <w:t xml:space="preserve">) as an infiltrate, and focused on the crystallographic structure and stability of the composition through TEM analysis. </w:t>
      </w:r>
      <w:r w:rsidRPr="00362285">
        <w:rPr>
          <w:rFonts w:asciiTheme="minorHAnsi" w:hAnsiTheme="minorHAnsi"/>
          <w:bCs/>
          <w:iCs/>
        </w:rPr>
        <w:t xml:space="preserve">TEM images along with element analyses indicated that </w:t>
      </w:r>
      <w:r w:rsidR="00D21C13" w:rsidRPr="00362285">
        <w:rPr>
          <w:rFonts w:asciiTheme="minorHAnsi" w:hAnsiTheme="minorHAnsi"/>
          <w:bCs/>
          <w:iCs/>
        </w:rPr>
        <w:t>0.1 mol</w:t>
      </w:r>
      <w:r w:rsidRPr="00362285">
        <w:rPr>
          <w:rFonts w:asciiTheme="minorHAnsi" w:hAnsiTheme="minorHAnsi"/>
          <w:bCs/>
          <w:iCs/>
        </w:rPr>
        <w:t xml:space="preserve"> of Pt is incorporated into B-site of the LSCo lattice, after infiltration into the cathode backbone composed of </w:t>
      </w:r>
      <w:r w:rsidRPr="00362285">
        <w:rPr>
          <w:rFonts w:asciiTheme="minorHAnsi" w:hAnsiTheme="minorHAnsi"/>
        </w:rPr>
        <w:t>SDC (Sm</w:t>
      </w:r>
      <w:r w:rsidRPr="00362285">
        <w:rPr>
          <w:rFonts w:asciiTheme="minorHAnsi" w:hAnsiTheme="minorHAnsi"/>
          <w:vertAlign w:val="subscript"/>
        </w:rPr>
        <w:t>2</w:t>
      </w:r>
      <w:r w:rsidRPr="00362285">
        <w:rPr>
          <w:rFonts w:asciiTheme="minorHAnsi" w:hAnsiTheme="minorHAnsi"/>
        </w:rPr>
        <w:t>O</w:t>
      </w:r>
      <w:r w:rsidRPr="00362285">
        <w:rPr>
          <w:rFonts w:asciiTheme="minorHAnsi" w:hAnsiTheme="minorHAnsi"/>
          <w:vertAlign w:val="subscript"/>
        </w:rPr>
        <w:t>3</w:t>
      </w:r>
      <w:r w:rsidRPr="00362285">
        <w:rPr>
          <w:rFonts w:asciiTheme="minorHAnsi" w:hAnsiTheme="minorHAnsi"/>
        </w:rPr>
        <w:t>-doped CeO</w:t>
      </w:r>
      <w:r w:rsidRPr="00362285">
        <w:rPr>
          <w:rFonts w:asciiTheme="minorHAnsi" w:hAnsiTheme="minorHAnsi"/>
          <w:vertAlign w:val="subscript"/>
        </w:rPr>
        <w:t>2</w:t>
      </w:r>
      <w:r w:rsidRPr="00362285">
        <w:rPr>
          <w:rFonts w:asciiTheme="minorHAnsi" w:hAnsiTheme="minorHAnsi"/>
        </w:rPr>
        <w:t>) and LSCF (La</w:t>
      </w:r>
      <w:r w:rsidRPr="00362285">
        <w:rPr>
          <w:rFonts w:asciiTheme="minorHAnsi" w:hAnsiTheme="minorHAnsi"/>
          <w:vertAlign w:val="subscript"/>
        </w:rPr>
        <w:t>0.6</w:t>
      </w:r>
      <w:r w:rsidRPr="00362285">
        <w:rPr>
          <w:rFonts w:asciiTheme="minorHAnsi" w:hAnsiTheme="minorHAnsi"/>
        </w:rPr>
        <w:t>Sr</w:t>
      </w:r>
      <w:r w:rsidRPr="00362285">
        <w:rPr>
          <w:rFonts w:asciiTheme="minorHAnsi" w:hAnsiTheme="minorHAnsi"/>
          <w:vertAlign w:val="subscript"/>
        </w:rPr>
        <w:t>0.4</w:t>
      </w:r>
      <w:r w:rsidRPr="00362285">
        <w:rPr>
          <w:rFonts w:asciiTheme="minorHAnsi" w:hAnsiTheme="minorHAnsi"/>
        </w:rPr>
        <w:t>Co</w:t>
      </w:r>
      <w:r w:rsidRPr="00362285">
        <w:rPr>
          <w:rFonts w:asciiTheme="minorHAnsi" w:hAnsiTheme="minorHAnsi"/>
          <w:vertAlign w:val="subscript"/>
        </w:rPr>
        <w:t>0.2</w:t>
      </w:r>
      <w:r w:rsidRPr="00362285">
        <w:rPr>
          <w:rFonts w:asciiTheme="minorHAnsi" w:hAnsiTheme="minorHAnsi"/>
        </w:rPr>
        <w:t>Fe</w:t>
      </w:r>
      <w:r w:rsidRPr="00362285">
        <w:rPr>
          <w:rFonts w:asciiTheme="minorHAnsi" w:hAnsiTheme="minorHAnsi"/>
          <w:vertAlign w:val="subscript"/>
        </w:rPr>
        <w:t>0.8</w:t>
      </w:r>
      <w:r w:rsidRPr="00362285">
        <w:rPr>
          <w:rFonts w:asciiTheme="minorHAnsi" w:hAnsiTheme="minorHAnsi"/>
        </w:rPr>
        <w:t>O</w:t>
      </w:r>
      <w:r w:rsidRPr="00362285">
        <w:rPr>
          <w:rFonts w:asciiTheme="minorHAnsi" w:hAnsiTheme="minorHAnsi"/>
          <w:vertAlign w:val="subscript"/>
        </w:rPr>
        <w:t>3-</w:t>
      </w:r>
      <w:r w:rsidRPr="00362285">
        <w:rPr>
          <w:rFonts w:asciiTheme="minorHAnsi" w:hAnsiTheme="minorHAnsi"/>
          <w:vertAlign w:val="subscript"/>
        </w:rPr>
        <w:t></w:t>
      </w:r>
      <w:r w:rsidRPr="00362285">
        <w:rPr>
          <w:rFonts w:asciiTheme="minorHAnsi" w:hAnsiTheme="minorHAnsi"/>
        </w:rPr>
        <w:t xml:space="preserve">), </w:t>
      </w:r>
      <w:r w:rsidRPr="00362285">
        <w:rPr>
          <w:rFonts w:asciiTheme="minorHAnsi" w:hAnsiTheme="minorHAnsi"/>
          <w:bCs/>
          <w:iCs/>
        </w:rPr>
        <w:t>followed by calcination at 850</w:t>
      </w:r>
      <w:r w:rsidRPr="00362285">
        <w:rPr>
          <w:rFonts w:asciiTheme="minorHAnsi" w:hAnsiTheme="minorHAnsi"/>
          <w:bCs/>
          <w:iCs/>
        </w:rPr>
        <w:sym w:font="Symbol" w:char="F0B0"/>
      </w:r>
      <w:r w:rsidRPr="00362285">
        <w:rPr>
          <w:rFonts w:asciiTheme="minorHAnsi" w:hAnsiTheme="minorHAnsi"/>
          <w:bCs/>
          <w:iCs/>
        </w:rPr>
        <w:t>C. The direct comparison between an as-calcined, 0 h tested cathode and a 200 h tested cathode demonstrated that the LSCoPt infiltrates in both cathodes have similar particle size of about 50 nm, and same rhombohedral crystal structure. The LSCO-Pt rhombohedral crystal structure differs from the cubic LSCo observed under these conditions. In addition, cation interdiffusion during a calcination step and/or cell operation was assumed, due to the detection of Fe in LSCoPt infiltrates and Sm in LSCF backbone. The TEM imaging and chemistry examination clearly demonstrated the crystallographic stability of this novel nanostructured SOFC Pt-doped LSCo electrocatalyst.</w:t>
      </w:r>
    </w:p>
    <w:p w:rsidR="00244ABD" w:rsidRPr="00362285" w:rsidRDefault="00244ABD" w:rsidP="007A4373">
      <w:pPr>
        <w:spacing w:after="0" w:line="240" w:lineRule="auto"/>
        <w:rPr>
          <w:rFonts w:asciiTheme="minorHAnsi" w:hAnsiTheme="minorHAnsi"/>
          <w:bCs/>
          <w:iCs/>
        </w:rPr>
      </w:pPr>
    </w:p>
    <w:p w:rsidR="00244ABD" w:rsidRPr="00362285" w:rsidRDefault="00244ABD" w:rsidP="007A4373">
      <w:pPr>
        <w:spacing w:after="0" w:line="240" w:lineRule="auto"/>
        <w:rPr>
          <w:rFonts w:asciiTheme="minorHAnsi" w:hAnsiTheme="minorHAnsi"/>
          <w:bCs/>
          <w:iCs/>
        </w:rPr>
      </w:pPr>
    </w:p>
    <w:p w:rsidR="00244ABD" w:rsidRPr="00362285" w:rsidRDefault="00244ABD" w:rsidP="007A4373">
      <w:pPr>
        <w:spacing w:after="0" w:line="240" w:lineRule="auto"/>
        <w:rPr>
          <w:rFonts w:asciiTheme="minorHAnsi" w:hAnsiTheme="minorHAnsi"/>
          <w:bCs/>
          <w:iCs/>
        </w:rPr>
      </w:pPr>
    </w:p>
    <w:p w:rsidR="00244ABD" w:rsidRDefault="00244ABD" w:rsidP="007A4373">
      <w:pPr>
        <w:spacing w:after="0" w:line="240" w:lineRule="auto"/>
        <w:rPr>
          <w:rFonts w:ascii="Times New Roman" w:hAnsi="Times New Roman"/>
          <w:bCs/>
          <w:iCs/>
          <w:szCs w:val="24"/>
        </w:rPr>
      </w:pPr>
    </w:p>
    <w:sectPr w:rsidR="00244ABD" w:rsidSect="00F11E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lgun Gothic">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47C67"/>
    <w:multiLevelType w:val="hybridMultilevel"/>
    <w:tmpl w:val="96C45868"/>
    <w:lvl w:ilvl="0" w:tplc="0532BC1C">
      <w:start w:val="1"/>
      <w:numFmt w:val="decimal"/>
      <w:lvlText w:val="%1."/>
      <w:lvlJc w:val="left"/>
      <w:pPr>
        <w:tabs>
          <w:tab w:val="num" w:pos="720"/>
        </w:tabs>
        <w:ind w:left="720" w:hanging="360"/>
      </w:pPr>
      <w:rPr>
        <w:rFonts w:cs="Times New Roman"/>
      </w:rPr>
    </w:lvl>
    <w:lvl w:ilvl="1" w:tplc="35660AA6" w:tentative="1">
      <w:start w:val="1"/>
      <w:numFmt w:val="decimal"/>
      <w:lvlText w:val="%2."/>
      <w:lvlJc w:val="left"/>
      <w:pPr>
        <w:tabs>
          <w:tab w:val="num" w:pos="1440"/>
        </w:tabs>
        <w:ind w:left="1440" w:hanging="360"/>
      </w:pPr>
      <w:rPr>
        <w:rFonts w:cs="Times New Roman"/>
      </w:rPr>
    </w:lvl>
    <w:lvl w:ilvl="2" w:tplc="C40458CE" w:tentative="1">
      <w:start w:val="1"/>
      <w:numFmt w:val="decimal"/>
      <w:lvlText w:val="%3."/>
      <w:lvlJc w:val="left"/>
      <w:pPr>
        <w:tabs>
          <w:tab w:val="num" w:pos="2160"/>
        </w:tabs>
        <w:ind w:left="2160" w:hanging="360"/>
      </w:pPr>
      <w:rPr>
        <w:rFonts w:cs="Times New Roman"/>
      </w:rPr>
    </w:lvl>
    <w:lvl w:ilvl="3" w:tplc="628E3E1E" w:tentative="1">
      <w:start w:val="1"/>
      <w:numFmt w:val="decimal"/>
      <w:lvlText w:val="%4."/>
      <w:lvlJc w:val="left"/>
      <w:pPr>
        <w:tabs>
          <w:tab w:val="num" w:pos="2880"/>
        </w:tabs>
        <w:ind w:left="2880" w:hanging="360"/>
      </w:pPr>
      <w:rPr>
        <w:rFonts w:cs="Times New Roman"/>
      </w:rPr>
    </w:lvl>
    <w:lvl w:ilvl="4" w:tplc="6664941A" w:tentative="1">
      <w:start w:val="1"/>
      <w:numFmt w:val="decimal"/>
      <w:lvlText w:val="%5."/>
      <w:lvlJc w:val="left"/>
      <w:pPr>
        <w:tabs>
          <w:tab w:val="num" w:pos="3600"/>
        </w:tabs>
        <w:ind w:left="3600" w:hanging="360"/>
      </w:pPr>
      <w:rPr>
        <w:rFonts w:cs="Times New Roman"/>
      </w:rPr>
    </w:lvl>
    <w:lvl w:ilvl="5" w:tplc="437AEEBC" w:tentative="1">
      <w:start w:val="1"/>
      <w:numFmt w:val="decimal"/>
      <w:lvlText w:val="%6."/>
      <w:lvlJc w:val="left"/>
      <w:pPr>
        <w:tabs>
          <w:tab w:val="num" w:pos="4320"/>
        </w:tabs>
        <w:ind w:left="4320" w:hanging="360"/>
      </w:pPr>
      <w:rPr>
        <w:rFonts w:cs="Times New Roman"/>
      </w:rPr>
    </w:lvl>
    <w:lvl w:ilvl="6" w:tplc="3EFCDC1A" w:tentative="1">
      <w:start w:val="1"/>
      <w:numFmt w:val="decimal"/>
      <w:lvlText w:val="%7."/>
      <w:lvlJc w:val="left"/>
      <w:pPr>
        <w:tabs>
          <w:tab w:val="num" w:pos="5040"/>
        </w:tabs>
        <w:ind w:left="5040" w:hanging="360"/>
      </w:pPr>
      <w:rPr>
        <w:rFonts w:cs="Times New Roman"/>
      </w:rPr>
    </w:lvl>
    <w:lvl w:ilvl="7" w:tplc="8CF050E8" w:tentative="1">
      <w:start w:val="1"/>
      <w:numFmt w:val="decimal"/>
      <w:lvlText w:val="%8."/>
      <w:lvlJc w:val="left"/>
      <w:pPr>
        <w:tabs>
          <w:tab w:val="num" w:pos="5760"/>
        </w:tabs>
        <w:ind w:left="5760" w:hanging="360"/>
      </w:pPr>
      <w:rPr>
        <w:rFonts w:cs="Times New Roman"/>
      </w:rPr>
    </w:lvl>
    <w:lvl w:ilvl="8" w:tplc="42982920" w:tentative="1">
      <w:start w:val="1"/>
      <w:numFmt w:val="decimal"/>
      <w:lvlText w:val="%9."/>
      <w:lvlJc w:val="left"/>
      <w:pPr>
        <w:tabs>
          <w:tab w:val="num" w:pos="6480"/>
        </w:tabs>
        <w:ind w:left="6480" w:hanging="360"/>
      </w:pPr>
      <w:rPr>
        <w:rFonts w:cs="Times New Roman"/>
      </w:rPr>
    </w:lvl>
  </w:abstractNum>
  <w:abstractNum w:abstractNumId="1">
    <w:nsid w:val="3ACE2056"/>
    <w:multiLevelType w:val="hybridMultilevel"/>
    <w:tmpl w:val="804EB374"/>
    <w:lvl w:ilvl="0" w:tplc="F1EEC514">
      <w:start w:val="1"/>
      <w:numFmt w:val="decimal"/>
      <w:lvlText w:val="%1."/>
      <w:lvlJc w:val="left"/>
      <w:pPr>
        <w:tabs>
          <w:tab w:val="num" w:pos="720"/>
        </w:tabs>
        <w:ind w:left="720" w:hanging="360"/>
      </w:pPr>
      <w:rPr>
        <w:rFonts w:cs="Times New Roman"/>
      </w:rPr>
    </w:lvl>
    <w:lvl w:ilvl="1" w:tplc="3FF025AE" w:tentative="1">
      <w:start w:val="1"/>
      <w:numFmt w:val="decimal"/>
      <w:lvlText w:val="%2."/>
      <w:lvlJc w:val="left"/>
      <w:pPr>
        <w:tabs>
          <w:tab w:val="num" w:pos="1440"/>
        </w:tabs>
        <w:ind w:left="1440" w:hanging="360"/>
      </w:pPr>
      <w:rPr>
        <w:rFonts w:cs="Times New Roman"/>
      </w:rPr>
    </w:lvl>
    <w:lvl w:ilvl="2" w:tplc="DA6AA9C4" w:tentative="1">
      <w:start w:val="1"/>
      <w:numFmt w:val="decimal"/>
      <w:lvlText w:val="%3."/>
      <w:lvlJc w:val="left"/>
      <w:pPr>
        <w:tabs>
          <w:tab w:val="num" w:pos="2160"/>
        </w:tabs>
        <w:ind w:left="2160" w:hanging="360"/>
      </w:pPr>
      <w:rPr>
        <w:rFonts w:cs="Times New Roman"/>
      </w:rPr>
    </w:lvl>
    <w:lvl w:ilvl="3" w:tplc="759EB82E" w:tentative="1">
      <w:start w:val="1"/>
      <w:numFmt w:val="decimal"/>
      <w:lvlText w:val="%4."/>
      <w:lvlJc w:val="left"/>
      <w:pPr>
        <w:tabs>
          <w:tab w:val="num" w:pos="2880"/>
        </w:tabs>
        <w:ind w:left="2880" w:hanging="360"/>
      </w:pPr>
      <w:rPr>
        <w:rFonts w:cs="Times New Roman"/>
      </w:rPr>
    </w:lvl>
    <w:lvl w:ilvl="4" w:tplc="6F1C1F74" w:tentative="1">
      <w:start w:val="1"/>
      <w:numFmt w:val="decimal"/>
      <w:lvlText w:val="%5."/>
      <w:lvlJc w:val="left"/>
      <w:pPr>
        <w:tabs>
          <w:tab w:val="num" w:pos="3600"/>
        </w:tabs>
        <w:ind w:left="3600" w:hanging="360"/>
      </w:pPr>
      <w:rPr>
        <w:rFonts w:cs="Times New Roman"/>
      </w:rPr>
    </w:lvl>
    <w:lvl w:ilvl="5" w:tplc="036CADE4" w:tentative="1">
      <w:start w:val="1"/>
      <w:numFmt w:val="decimal"/>
      <w:lvlText w:val="%6."/>
      <w:lvlJc w:val="left"/>
      <w:pPr>
        <w:tabs>
          <w:tab w:val="num" w:pos="4320"/>
        </w:tabs>
        <w:ind w:left="4320" w:hanging="360"/>
      </w:pPr>
      <w:rPr>
        <w:rFonts w:cs="Times New Roman"/>
      </w:rPr>
    </w:lvl>
    <w:lvl w:ilvl="6" w:tplc="964E97F4" w:tentative="1">
      <w:start w:val="1"/>
      <w:numFmt w:val="decimal"/>
      <w:lvlText w:val="%7."/>
      <w:lvlJc w:val="left"/>
      <w:pPr>
        <w:tabs>
          <w:tab w:val="num" w:pos="5040"/>
        </w:tabs>
        <w:ind w:left="5040" w:hanging="360"/>
      </w:pPr>
      <w:rPr>
        <w:rFonts w:cs="Times New Roman"/>
      </w:rPr>
    </w:lvl>
    <w:lvl w:ilvl="7" w:tplc="D1B45B76" w:tentative="1">
      <w:start w:val="1"/>
      <w:numFmt w:val="decimal"/>
      <w:lvlText w:val="%8."/>
      <w:lvlJc w:val="left"/>
      <w:pPr>
        <w:tabs>
          <w:tab w:val="num" w:pos="5760"/>
        </w:tabs>
        <w:ind w:left="5760" w:hanging="360"/>
      </w:pPr>
      <w:rPr>
        <w:rFonts w:cs="Times New Roman"/>
      </w:rPr>
    </w:lvl>
    <w:lvl w:ilvl="8" w:tplc="156C3372" w:tentative="1">
      <w:start w:val="1"/>
      <w:numFmt w:val="decimal"/>
      <w:lvlText w:val="%9."/>
      <w:lvlJc w:val="left"/>
      <w:pPr>
        <w:tabs>
          <w:tab w:val="num" w:pos="6480"/>
        </w:tabs>
        <w:ind w:left="6480" w:hanging="360"/>
      </w:pPr>
      <w:rPr>
        <w:rFonts w:cs="Times New Roman"/>
      </w:rPr>
    </w:lvl>
  </w:abstractNum>
  <w:abstractNum w:abstractNumId="2">
    <w:nsid w:val="7D3C2F3E"/>
    <w:multiLevelType w:val="hybridMultilevel"/>
    <w:tmpl w:val="151EA3AA"/>
    <w:lvl w:ilvl="0" w:tplc="2A9E796E">
      <w:start w:val="1"/>
      <w:numFmt w:val="decimal"/>
      <w:lvlText w:val="%1."/>
      <w:lvlJc w:val="left"/>
      <w:pPr>
        <w:tabs>
          <w:tab w:val="num" w:pos="720"/>
        </w:tabs>
        <w:ind w:left="720" w:hanging="360"/>
      </w:pPr>
      <w:rPr>
        <w:rFonts w:cs="Times New Roman"/>
      </w:rPr>
    </w:lvl>
    <w:lvl w:ilvl="1" w:tplc="13CCE2EC" w:tentative="1">
      <w:start w:val="1"/>
      <w:numFmt w:val="decimal"/>
      <w:lvlText w:val="%2."/>
      <w:lvlJc w:val="left"/>
      <w:pPr>
        <w:tabs>
          <w:tab w:val="num" w:pos="1440"/>
        </w:tabs>
        <w:ind w:left="1440" w:hanging="360"/>
      </w:pPr>
      <w:rPr>
        <w:rFonts w:cs="Times New Roman"/>
      </w:rPr>
    </w:lvl>
    <w:lvl w:ilvl="2" w:tplc="FE22E66A" w:tentative="1">
      <w:start w:val="1"/>
      <w:numFmt w:val="decimal"/>
      <w:lvlText w:val="%3."/>
      <w:lvlJc w:val="left"/>
      <w:pPr>
        <w:tabs>
          <w:tab w:val="num" w:pos="2160"/>
        </w:tabs>
        <w:ind w:left="2160" w:hanging="360"/>
      </w:pPr>
      <w:rPr>
        <w:rFonts w:cs="Times New Roman"/>
      </w:rPr>
    </w:lvl>
    <w:lvl w:ilvl="3" w:tplc="2C0E6D46" w:tentative="1">
      <w:start w:val="1"/>
      <w:numFmt w:val="decimal"/>
      <w:lvlText w:val="%4."/>
      <w:lvlJc w:val="left"/>
      <w:pPr>
        <w:tabs>
          <w:tab w:val="num" w:pos="2880"/>
        </w:tabs>
        <w:ind w:left="2880" w:hanging="360"/>
      </w:pPr>
      <w:rPr>
        <w:rFonts w:cs="Times New Roman"/>
      </w:rPr>
    </w:lvl>
    <w:lvl w:ilvl="4" w:tplc="8F4CCD66" w:tentative="1">
      <w:start w:val="1"/>
      <w:numFmt w:val="decimal"/>
      <w:lvlText w:val="%5."/>
      <w:lvlJc w:val="left"/>
      <w:pPr>
        <w:tabs>
          <w:tab w:val="num" w:pos="3600"/>
        </w:tabs>
        <w:ind w:left="3600" w:hanging="360"/>
      </w:pPr>
      <w:rPr>
        <w:rFonts w:cs="Times New Roman"/>
      </w:rPr>
    </w:lvl>
    <w:lvl w:ilvl="5" w:tplc="78C8EB6E" w:tentative="1">
      <w:start w:val="1"/>
      <w:numFmt w:val="decimal"/>
      <w:lvlText w:val="%6."/>
      <w:lvlJc w:val="left"/>
      <w:pPr>
        <w:tabs>
          <w:tab w:val="num" w:pos="4320"/>
        </w:tabs>
        <w:ind w:left="4320" w:hanging="360"/>
      </w:pPr>
      <w:rPr>
        <w:rFonts w:cs="Times New Roman"/>
      </w:rPr>
    </w:lvl>
    <w:lvl w:ilvl="6" w:tplc="8DCC3996" w:tentative="1">
      <w:start w:val="1"/>
      <w:numFmt w:val="decimal"/>
      <w:lvlText w:val="%7."/>
      <w:lvlJc w:val="left"/>
      <w:pPr>
        <w:tabs>
          <w:tab w:val="num" w:pos="5040"/>
        </w:tabs>
        <w:ind w:left="5040" w:hanging="360"/>
      </w:pPr>
      <w:rPr>
        <w:rFonts w:cs="Times New Roman"/>
      </w:rPr>
    </w:lvl>
    <w:lvl w:ilvl="7" w:tplc="8A4AE272" w:tentative="1">
      <w:start w:val="1"/>
      <w:numFmt w:val="decimal"/>
      <w:lvlText w:val="%8."/>
      <w:lvlJc w:val="left"/>
      <w:pPr>
        <w:tabs>
          <w:tab w:val="num" w:pos="5760"/>
        </w:tabs>
        <w:ind w:left="5760" w:hanging="360"/>
      </w:pPr>
      <w:rPr>
        <w:rFonts w:cs="Times New Roman"/>
      </w:rPr>
    </w:lvl>
    <w:lvl w:ilvl="8" w:tplc="BD004B46" w:tentative="1">
      <w:start w:val="1"/>
      <w:numFmt w:val="decimal"/>
      <w:lvlText w:val="%9."/>
      <w:lvlJc w:val="left"/>
      <w:pPr>
        <w:tabs>
          <w:tab w:val="num" w:pos="6480"/>
        </w:tabs>
        <w:ind w:left="6480" w:hanging="360"/>
      </w:pPr>
      <w:rPr>
        <w:rFonts w:cs="Times New Roman"/>
      </w:rPr>
    </w:lvl>
  </w:abstractNum>
  <w:abstractNum w:abstractNumId="3">
    <w:nsid w:val="7E183395"/>
    <w:multiLevelType w:val="hybridMultilevel"/>
    <w:tmpl w:val="48764B26"/>
    <w:lvl w:ilvl="0" w:tplc="70305C04">
      <w:start w:val="1"/>
      <w:numFmt w:val="bullet"/>
      <w:lvlText w:val="•"/>
      <w:lvlJc w:val="left"/>
      <w:pPr>
        <w:tabs>
          <w:tab w:val="num" w:pos="720"/>
        </w:tabs>
        <w:ind w:left="720" w:hanging="360"/>
      </w:pPr>
      <w:rPr>
        <w:rFonts w:ascii="Times New Roman" w:hAnsi="Times New Roman" w:hint="default"/>
      </w:rPr>
    </w:lvl>
    <w:lvl w:ilvl="1" w:tplc="60DC71BA" w:tentative="1">
      <w:start w:val="1"/>
      <w:numFmt w:val="bullet"/>
      <w:lvlText w:val="•"/>
      <w:lvlJc w:val="left"/>
      <w:pPr>
        <w:tabs>
          <w:tab w:val="num" w:pos="1440"/>
        </w:tabs>
        <w:ind w:left="1440" w:hanging="360"/>
      </w:pPr>
      <w:rPr>
        <w:rFonts w:ascii="Times New Roman" w:hAnsi="Times New Roman" w:hint="default"/>
      </w:rPr>
    </w:lvl>
    <w:lvl w:ilvl="2" w:tplc="5B9E303A" w:tentative="1">
      <w:start w:val="1"/>
      <w:numFmt w:val="bullet"/>
      <w:lvlText w:val="•"/>
      <w:lvlJc w:val="left"/>
      <w:pPr>
        <w:tabs>
          <w:tab w:val="num" w:pos="2160"/>
        </w:tabs>
        <w:ind w:left="2160" w:hanging="360"/>
      </w:pPr>
      <w:rPr>
        <w:rFonts w:ascii="Times New Roman" w:hAnsi="Times New Roman" w:hint="default"/>
      </w:rPr>
    </w:lvl>
    <w:lvl w:ilvl="3" w:tplc="6616BB4E" w:tentative="1">
      <w:start w:val="1"/>
      <w:numFmt w:val="bullet"/>
      <w:lvlText w:val="•"/>
      <w:lvlJc w:val="left"/>
      <w:pPr>
        <w:tabs>
          <w:tab w:val="num" w:pos="2880"/>
        </w:tabs>
        <w:ind w:left="2880" w:hanging="360"/>
      </w:pPr>
      <w:rPr>
        <w:rFonts w:ascii="Times New Roman" w:hAnsi="Times New Roman" w:hint="default"/>
      </w:rPr>
    </w:lvl>
    <w:lvl w:ilvl="4" w:tplc="32B265BE" w:tentative="1">
      <w:start w:val="1"/>
      <w:numFmt w:val="bullet"/>
      <w:lvlText w:val="•"/>
      <w:lvlJc w:val="left"/>
      <w:pPr>
        <w:tabs>
          <w:tab w:val="num" w:pos="3600"/>
        </w:tabs>
        <w:ind w:left="3600" w:hanging="360"/>
      </w:pPr>
      <w:rPr>
        <w:rFonts w:ascii="Times New Roman" w:hAnsi="Times New Roman" w:hint="default"/>
      </w:rPr>
    </w:lvl>
    <w:lvl w:ilvl="5" w:tplc="92623C28" w:tentative="1">
      <w:start w:val="1"/>
      <w:numFmt w:val="bullet"/>
      <w:lvlText w:val="•"/>
      <w:lvlJc w:val="left"/>
      <w:pPr>
        <w:tabs>
          <w:tab w:val="num" w:pos="4320"/>
        </w:tabs>
        <w:ind w:left="4320" w:hanging="360"/>
      </w:pPr>
      <w:rPr>
        <w:rFonts w:ascii="Times New Roman" w:hAnsi="Times New Roman" w:hint="default"/>
      </w:rPr>
    </w:lvl>
    <w:lvl w:ilvl="6" w:tplc="2BFCCC3A" w:tentative="1">
      <w:start w:val="1"/>
      <w:numFmt w:val="bullet"/>
      <w:lvlText w:val="•"/>
      <w:lvlJc w:val="left"/>
      <w:pPr>
        <w:tabs>
          <w:tab w:val="num" w:pos="5040"/>
        </w:tabs>
        <w:ind w:left="5040" w:hanging="360"/>
      </w:pPr>
      <w:rPr>
        <w:rFonts w:ascii="Times New Roman" w:hAnsi="Times New Roman" w:hint="default"/>
      </w:rPr>
    </w:lvl>
    <w:lvl w:ilvl="7" w:tplc="82185E18" w:tentative="1">
      <w:start w:val="1"/>
      <w:numFmt w:val="bullet"/>
      <w:lvlText w:val="•"/>
      <w:lvlJc w:val="left"/>
      <w:pPr>
        <w:tabs>
          <w:tab w:val="num" w:pos="5760"/>
        </w:tabs>
        <w:ind w:left="5760" w:hanging="360"/>
      </w:pPr>
      <w:rPr>
        <w:rFonts w:ascii="Times New Roman" w:hAnsi="Times New Roman" w:hint="default"/>
      </w:rPr>
    </w:lvl>
    <w:lvl w:ilvl="8" w:tplc="2894058A"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6551"/>
    <w:rsid w:val="00006C57"/>
    <w:rsid w:val="00066853"/>
    <w:rsid w:val="00083D3F"/>
    <w:rsid w:val="00095554"/>
    <w:rsid w:val="00096040"/>
    <w:rsid w:val="000E57F2"/>
    <w:rsid w:val="00145E1C"/>
    <w:rsid w:val="00192CF6"/>
    <w:rsid w:val="00194A25"/>
    <w:rsid w:val="001D10D5"/>
    <w:rsid w:val="001D3469"/>
    <w:rsid w:val="001E6CE1"/>
    <w:rsid w:val="00227B75"/>
    <w:rsid w:val="002414BF"/>
    <w:rsid w:val="00242C30"/>
    <w:rsid w:val="00244ABD"/>
    <w:rsid w:val="00285137"/>
    <w:rsid w:val="002B05DD"/>
    <w:rsid w:val="002B523E"/>
    <w:rsid w:val="002B6227"/>
    <w:rsid w:val="002B62D7"/>
    <w:rsid w:val="002E1C92"/>
    <w:rsid w:val="00310441"/>
    <w:rsid w:val="00352E07"/>
    <w:rsid w:val="00362285"/>
    <w:rsid w:val="003857B8"/>
    <w:rsid w:val="00385F99"/>
    <w:rsid w:val="003A75BC"/>
    <w:rsid w:val="003D5E09"/>
    <w:rsid w:val="003E233B"/>
    <w:rsid w:val="003F6B37"/>
    <w:rsid w:val="00420C45"/>
    <w:rsid w:val="00433061"/>
    <w:rsid w:val="00455338"/>
    <w:rsid w:val="00463835"/>
    <w:rsid w:val="00471BAD"/>
    <w:rsid w:val="004B40E5"/>
    <w:rsid w:val="004B7184"/>
    <w:rsid w:val="004C7EA7"/>
    <w:rsid w:val="00516BB9"/>
    <w:rsid w:val="0054306D"/>
    <w:rsid w:val="0057568F"/>
    <w:rsid w:val="00580929"/>
    <w:rsid w:val="0059481F"/>
    <w:rsid w:val="005A3A9D"/>
    <w:rsid w:val="005E1B75"/>
    <w:rsid w:val="00625C9E"/>
    <w:rsid w:val="0065159C"/>
    <w:rsid w:val="006617DF"/>
    <w:rsid w:val="00666551"/>
    <w:rsid w:val="00682BA1"/>
    <w:rsid w:val="006A039C"/>
    <w:rsid w:val="00746E93"/>
    <w:rsid w:val="00777A4D"/>
    <w:rsid w:val="007A4373"/>
    <w:rsid w:val="007E046E"/>
    <w:rsid w:val="007F6B19"/>
    <w:rsid w:val="00801BA6"/>
    <w:rsid w:val="00837A97"/>
    <w:rsid w:val="00872A7C"/>
    <w:rsid w:val="008C659D"/>
    <w:rsid w:val="008D0C8A"/>
    <w:rsid w:val="00946BCA"/>
    <w:rsid w:val="009C36AD"/>
    <w:rsid w:val="009D2BFF"/>
    <w:rsid w:val="009E0908"/>
    <w:rsid w:val="00A6147C"/>
    <w:rsid w:val="00AA0B26"/>
    <w:rsid w:val="00B10136"/>
    <w:rsid w:val="00B2388A"/>
    <w:rsid w:val="00B26DDB"/>
    <w:rsid w:val="00B57576"/>
    <w:rsid w:val="00B76304"/>
    <w:rsid w:val="00B77B16"/>
    <w:rsid w:val="00B77F04"/>
    <w:rsid w:val="00BC1D52"/>
    <w:rsid w:val="00BE4832"/>
    <w:rsid w:val="00C03B78"/>
    <w:rsid w:val="00C31EFD"/>
    <w:rsid w:val="00C51C64"/>
    <w:rsid w:val="00C70E34"/>
    <w:rsid w:val="00C94BAF"/>
    <w:rsid w:val="00CC007A"/>
    <w:rsid w:val="00CE3887"/>
    <w:rsid w:val="00D21C13"/>
    <w:rsid w:val="00D31A18"/>
    <w:rsid w:val="00D5215A"/>
    <w:rsid w:val="00D76B25"/>
    <w:rsid w:val="00DA7873"/>
    <w:rsid w:val="00E05279"/>
    <w:rsid w:val="00E1126C"/>
    <w:rsid w:val="00E117AF"/>
    <w:rsid w:val="00E1708F"/>
    <w:rsid w:val="00E2052E"/>
    <w:rsid w:val="00E3082C"/>
    <w:rsid w:val="00E65E51"/>
    <w:rsid w:val="00EA529E"/>
    <w:rsid w:val="00EC0866"/>
    <w:rsid w:val="00EC3E68"/>
    <w:rsid w:val="00EF5E15"/>
    <w:rsid w:val="00F10112"/>
    <w:rsid w:val="00F11E5B"/>
    <w:rsid w:val="00F737A0"/>
    <w:rsid w:val="00F91463"/>
    <w:rsid w:val="00FB10B3"/>
    <w:rsid w:val="00FE41AB"/>
    <w:rsid w:val="00FF5FA2"/>
    <w:rsid w:val="00FF75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551"/>
    <w:pPr>
      <w:spacing w:after="200" w:line="276" w:lineRule="auto"/>
    </w:pPr>
    <w:rPr>
      <w:rFonts w:eastAsia="Malgun Gothic"/>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A4373"/>
    <w:rPr>
      <w:rFonts w:cs="Times New Roman"/>
      <w:color w:val="0000FF"/>
      <w:u w:val="single"/>
    </w:rPr>
  </w:style>
  <w:style w:type="paragraph" w:styleId="DocumentMap">
    <w:name w:val="Document Map"/>
    <w:basedOn w:val="Normal"/>
    <w:link w:val="DocumentMapChar"/>
    <w:uiPriority w:val="99"/>
    <w:semiHidden/>
    <w:rsid w:val="005A3A9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5A3A9D"/>
    <w:rPr>
      <w:rFonts w:ascii="Tahoma" w:eastAsia="Malgun Gothic" w:hAnsi="Tahoma" w:cs="Tahoma"/>
      <w:sz w:val="16"/>
      <w:szCs w:val="16"/>
    </w:rPr>
  </w:style>
  <w:style w:type="paragraph" w:styleId="BalloonText">
    <w:name w:val="Balloon Text"/>
    <w:basedOn w:val="Normal"/>
    <w:link w:val="BalloonTextChar"/>
    <w:uiPriority w:val="99"/>
    <w:semiHidden/>
    <w:rsid w:val="00FE41A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2BFF"/>
    <w:rPr>
      <w:rFonts w:ascii="Times New Roman" w:eastAsia="Malgun Gothic"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721753365">
      <w:marLeft w:val="0"/>
      <w:marRight w:val="0"/>
      <w:marTop w:val="0"/>
      <w:marBottom w:val="0"/>
      <w:divBdr>
        <w:top w:val="none" w:sz="0" w:space="0" w:color="auto"/>
        <w:left w:val="none" w:sz="0" w:space="0" w:color="auto"/>
        <w:bottom w:val="none" w:sz="0" w:space="0" w:color="auto"/>
        <w:right w:val="none" w:sz="0" w:space="0" w:color="auto"/>
      </w:divBdr>
      <w:divsChild>
        <w:div w:id="721753362">
          <w:marLeft w:val="547"/>
          <w:marRight w:val="0"/>
          <w:marTop w:val="0"/>
          <w:marBottom w:val="0"/>
          <w:divBdr>
            <w:top w:val="none" w:sz="0" w:space="0" w:color="auto"/>
            <w:left w:val="none" w:sz="0" w:space="0" w:color="auto"/>
            <w:bottom w:val="none" w:sz="0" w:space="0" w:color="auto"/>
            <w:right w:val="none" w:sz="0" w:space="0" w:color="auto"/>
          </w:divBdr>
        </w:div>
        <w:div w:id="721753363">
          <w:marLeft w:val="547"/>
          <w:marRight w:val="0"/>
          <w:marTop w:val="0"/>
          <w:marBottom w:val="0"/>
          <w:divBdr>
            <w:top w:val="none" w:sz="0" w:space="0" w:color="auto"/>
            <w:left w:val="none" w:sz="0" w:space="0" w:color="auto"/>
            <w:bottom w:val="none" w:sz="0" w:space="0" w:color="auto"/>
            <w:right w:val="none" w:sz="0" w:space="0" w:color="auto"/>
          </w:divBdr>
        </w:div>
      </w:divsChild>
    </w:div>
    <w:div w:id="721753367">
      <w:marLeft w:val="0"/>
      <w:marRight w:val="0"/>
      <w:marTop w:val="0"/>
      <w:marBottom w:val="0"/>
      <w:divBdr>
        <w:top w:val="none" w:sz="0" w:space="0" w:color="auto"/>
        <w:left w:val="none" w:sz="0" w:space="0" w:color="auto"/>
        <w:bottom w:val="none" w:sz="0" w:space="0" w:color="auto"/>
        <w:right w:val="none" w:sz="0" w:space="0" w:color="auto"/>
      </w:divBdr>
      <w:divsChild>
        <w:div w:id="721753359">
          <w:marLeft w:val="547"/>
          <w:marRight w:val="0"/>
          <w:marTop w:val="0"/>
          <w:marBottom w:val="0"/>
          <w:divBdr>
            <w:top w:val="none" w:sz="0" w:space="0" w:color="auto"/>
            <w:left w:val="none" w:sz="0" w:space="0" w:color="auto"/>
            <w:bottom w:val="none" w:sz="0" w:space="0" w:color="auto"/>
            <w:right w:val="none" w:sz="0" w:space="0" w:color="auto"/>
          </w:divBdr>
        </w:div>
        <w:div w:id="721753360">
          <w:marLeft w:val="547"/>
          <w:marRight w:val="0"/>
          <w:marTop w:val="0"/>
          <w:marBottom w:val="0"/>
          <w:divBdr>
            <w:top w:val="none" w:sz="0" w:space="0" w:color="auto"/>
            <w:left w:val="none" w:sz="0" w:space="0" w:color="auto"/>
            <w:bottom w:val="none" w:sz="0" w:space="0" w:color="auto"/>
            <w:right w:val="none" w:sz="0" w:space="0" w:color="auto"/>
          </w:divBdr>
        </w:div>
        <w:div w:id="721753364">
          <w:marLeft w:val="547"/>
          <w:marRight w:val="0"/>
          <w:marTop w:val="0"/>
          <w:marBottom w:val="0"/>
          <w:divBdr>
            <w:top w:val="none" w:sz="0" w:space="0" w:color="auto"/>
            <w:left w:val="none" w:sz="0" w:space="0" w:color="auto"/>
            <w:bottom w:val="none" w:sz="0" w:space="0" w:color="auto"/>
            <w:right w:val="none" w:sz="0" w:space="0" w:color="auto"/>
          </w:divBdr>
        </w:div>
        <w:div w:id="721753366">
          <w:marLeft w:val="547"/>
          <w:marRight w:val="0"/>
          <w:marTop w:val="0"/>
          <w:marBottom w:val="0"/>
          <w:divBdr>
            <w:top w:val="none" w:sz="0" w:space="0" w:color="auto"/>
            <w:left w:val="none" w:sz="0" w:space="0" w:color="auto"/>
            <w:bottom w:val="none" w:sz="0" w:space="0" w:color="auto"/>
            <w:right w:val="none" w:sz="0" w:space="0" w:color="auto"/>
          </w:divBdr>
        </w:div>
        <w:div w:id="721753370">
          <w:marLeft w:val="547"/>
          <w:marRight w:val="0"/>
          <w:marTop w:val="0"/>
          <w:marBottom w:val="0"/>
          <w:divBdr>
            <w:top w:val="none" w:sz="0" w:space="0" w:color="auto"/>
            <w:left w:val="none" w:sz="0" w:space="0" w:color="auto"/>
            <w:bottom w:val="none" w:sz="0" w:space="0" w:color="auto"/>
            <w:right w:val="none" w:sz="0" w:space="0" w:color="auto"/>
          </w:divBdr>
        </w:div>
      </w:divsChild>
    </w:div>
    <w:div w:id="721753368">
      <w:marLeft w:val="0"/>
      <w:marRight w:val="0"/>
      <w:marTop w:val="0"/>
      <w:marBottom w:val="0"/>
      <w:divBdr>
        <w:top w:val="none" w:sz="0" w:space="0" w:color="auto"/>
        <w:left w:val="none" w:sz="0" w:space="0" w:color="auto"/>
        <w:bottom w:val="none" w:sz="0" w:space="0" w:color="auto"/>
        <w:right w:val="none" w:sz="0" w:space="0" w:color="auto"/>
      </w:divBdr>
      <w:divsChild>
        <w:div w:id="721753361">
          <w:marLeft w:val="547"/>
          <w:marRight w:val="0"/>
          <w:marTop w:val="120"/>
          <w:marBottom w:val="120"/>
          <w:divBdr>
            <w:top w:val="none" w:sz="0" w:space="0" w:color="auto"/>
            <w:left w:val="none" w:sz="0" w:space="0" w:color="auto"/>
            <w:bottom w:val="none" w:sz="0" w:space="0" w:color="auto"/>
            <w:right w:val="none" w:sz="0" w:space="0" w:color="auto"/>
          </w:divBdr>
        </w:div>
        <w:div w:id="721753369">
          <w:marLeft w:val="547"/>
          <w:marRight w:val="0"/>
          <w:marTop w:val="120"/>
          <w:marBottom w:val="120"/>
          <w:divBdr>
            <w:top w:val="none" w:sz="0" w:space="0" w:color="auto"/>
            <w:left w:val="none" w:sz="0" w:space="0" w:color="auto"/>
            <w:bottom w:val="none" w:sz="0" w:space="0" w:color="auto"/>
            <w:right w:val="none" w:sz="0" w:space="0" w:color="auto"/>
          </w:divBdr>
        </w:div>
        <w:div w:id="721753371">
          <w:marLeft w:val="547"/>
          <w:marRight w:val="0"/>
          <w:marTop w:val="120"/>
          <w:marBottom w:val="120"/>
          <w:divBdr>
            <w:top w:val="none" w:sz="0" w:space="0" w:color="auto"/>
            <w:left w:val="none" w:sz="0" w:space="0" w:color="auto"/>
            <w:bottom w:val="none" w:sz="0" w:space="0" w:color="auto"/>
            <w:right w:val="none" w:sz="0" w:space="0" w:color="auto"/>
          </w:divBdr>
        </w:div>
      </w:divsChild>
    </w:div>
    <w:div w:id="7217533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esn@netl.doe.gov"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esn.PN0000042337\Application%20Data\Microsoft\Templates\New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NewDoc.dotx</Template>
  <TotalTime>1</TotalTime>
  <Pages>1</Pages>
  <Words>292</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Crystallographic structure and stability of Pt-substituted LSCo electrocatalyst with SOFC operation</vt:lpstr>
    </vt:vector>
  </TitlesOfParts>
  <Company>U.S. Dept. Of Energy, NETL</Company>
  <LinksUpToDate>false</LinksUpToDate>
  <CharactersWithSpaces>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Crystallographic structure and stability of Pt-substituted LSCo electrocatalyst with SOFC operation</dc:title>
  <dc:subject/>
  <dc:creator>Reviewer</dc:creator>
  <cp:keywords/>
  <dc:description/>
  <cp:lastModifiedBy>Lockhart</cp:lastModifiedBy>
  <cp:revision>2</cp:revision>
  <cp:lastPrinted>2013-06-12T20:43:00Z</cp:lastPrinted>
  <dcterms:created xsi:type="dcterms:W3CDTF">2013-08-01T14:07:00Z</dcterms:created>
  <dcterms:modified xsi:type="dcterms:W3CDTF">2013-08-01T14:07:00Z</dcterms:modified>
</cp:coreProperties>
</file>