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BD" w:rsidRPr="004C4C18" w:rsidRDefault="00A94FE9" w:rsidP="0065159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4C4C18">
        <w:rPr>
          <w:rFonts w:asciiTheme="minorHAnsi" w:hAnsiTheme="minorHAnsi"/>
          <w:b/>
          <w:sz w:val="28"/>
          <w:szCs w:val="28"/>
        </w:rPr>
        <w:t xml:space="preserve">The influence of </w:t>
      </w:r>
      <w:proofErr w:type="spellStart"/>
      <w:r w:rsidRPr="004C4C18">
        <w:rPr>
          <w:rFonts w:asciiTheme="minorHAnsi" w:hAnsiTheme="minorHAnsi"/>
          <w:b/>
          <w:sz w:val="28"/>
          <w:szCs w:val="28"/>
        </w:rPr>
        <w:t>cation</w:t>
      </w:r>
      <w:proofErr w:type="spellEnd"/>
      <w:r w:rsidRPr="004C4C18">
        <w:rPr>
          <w:rFonts w:asciiTheme="minorHAnsi" w:hAnsiTheme="minorHAnsi"/>
          <w:b/>
          <w:sz w:val="28"/>
          <w:szCs w:val="28"/>
        </w:rPr>
        <w:t xml:space="preserve"> segregation on SOFC cathode aging behavior</w:t>
      </w:r>
    </w:p>
    <w:p w:rsidR="004C4C18" w:rsidRDefault="004C4C18" w:rsidP="004C4C18">
      <w:pPr>
        <w:spacing w:after="0" w:line="240" w:lineRule="auto"/>
        <w:jc w:val="center"/>
        <w:rPr>
          <w:rFonts w:asciiTheme="minorHAnsi" w:hAnsiTheme="minorHAnsi"/>
        </w:rPr>
      </w:pPr>
    </w:p>
    <w:p w:rsidR="00244ABD" w:rsidRPr="004C4C18" w:rsidRDefault="004C4C18" w:rsidP="004C4C18">
      <w:pPr>
        <w:spacing w:after="0" w:line="240" w:lineRule="auto"/>
        <w:jc w:val="center"/>
        <w:rPr>
          <w:rFonts w:asciiTheme="minorHAnsi" w:hAnsiTheme="minorHAnsi"/>
          <w:b/>
          <w:u w:val="single"/>
        </w:rPr>
      </w:pPr>
      <w:r w:rsidRPr="004C4C18">
        <w:rPr>
          <w:rFonts w:asciiTheme="minorHAnsi" w:hAnsiTheme="minorHAnsi"/>
          <w:b/>
          <w:u w:val="single"/>
        </w:rPr>
        <w:t>National Energy Technology Laboratory</w:t>
      </w:r>
      <w:r>
        <w:rPr>
          <w:rFonts w:asciiTheme="minorHAnsi" w:hAnsiTheme="minorHAnsi"/>
          <w:b/>
          <w:u w:val="single"/>
        </w:rPr>
        <w:t>-West Virginia University</w:t>
      </w:r>
    </w:p>
    <w:p w:rsidR="00244ABD" w:rsidRPr="004C4C18" w:rsidRDefault="003D7753" w:rsidP="005A3A9D">
      <w:pPr>
        <w:spacing w:after="0" w:line="240" w:lineRule="auto"/>
        <w:jc w:val="center"/>
        <w:outlineLvl w:val="0"/>
        <w:rPr>
          <w:rFonts w:asciiTheme="minorHAnsi" w:hAnsiTheme="minorHAnsi"/>
          <w:bCs/>
          <w:iCs/>
        </w:rPr>
      </w:pPr>
      <w:r w:rsidRPr="004C4C18">
        <w:rPr>
          <w:rFonts w:asciiTheme="minorHAnsi" w:hAnsiTheme="minorHAnsi"/>
          <w:bCs/>
          <w:iCs/>
        </w:rPr>
        <w:t>Harry Finklea</w:t>
      </w:r>
      <w:r w:rsidR="001D5954" w:rsidRPr="004C4C18">
        <w:rPr>
          <w:rFonts w:asciiTheme="minorHAnsi" w:hAnsiTheme="minorHAnsi"/>
          <w:bCs/>
          <w:iCs/>
          <w:vertAlign w:val="superscript"/>
        </w:rPr>
        <w:t>1</w:t>
      </w:r>
      <w:proofErr w:type="gramStart"/>
      <w:r w:rsidR="001D5954" w:rsidRPr="004C4C18">
        <w:rPr>
          <w:rFonts w:asciiTheme="minorHAnsi" w:hAnsiTheme="minorHAnsi"/>
          <w:bCs/>
          <w:iCs/>
          <w:vertAlign w:val="superscript"/>
        </w:rPr>
        <w:t>,2</w:t>
      </w:r>
      <w:proofErr w:type="gramEnd"/>
      <w:r w:rsidR="00244ABD" w:rsidRPr="004C4C18">
        <w:rPr>
          <w:rFonts w:asciiTheme="minorHAnsi" w:hAnsiTheme="minorHAnsi"/>
          <w:bCs/>
          <w:iCs/>
        </w:rPr>
        <w:t xml:space="preserve">, </w:t>
      </w:r>
      <w:r w:rsidR="001D5954" w:rsidRPr="004C4C18">
        <w:rPr>
          <w:rFonts w:asciiTheme="minorHAnsi" w:hAnsiTheme="minorHAnsi"/>
          <w:bCs/>
          <w:iCs/>
        </w:rPr>
        <w:t xml:space="preserve">Harry </w:t>
      </w:r>
      <w:r w:rsidRPr="004C4C18">
        <w:rPr>
          <w:rFonts w:asciiTheme="minorHAnsi" w:hAnsiTheme="minorHAnsi"/>
          <w:bCs/>
          <w:iCs/>
        </w:rPr>
        <w:t>Abernathy</w:t>
      </w:r>
      <w:r w:rsidR="001D5954" w:rsidRPr="004C4C18">
        <w:rPr>
          <w:rFonts w:asciiTheme="minorHAnsi" w:hAnsiTheme="minorHAnsi"/>
          <w:bCs/>
          <w:iCs/>
          <w:vertAlign w:val="superscript"/>
        </w:rPr>
        <w:t>1</w:t>
      </w:r>
      <w:r w:rsidR="001D5954" w:rsidRPr="004C4C18">
        <w:rPr>
          <w:rFonts w:asciiTheme="minorHAnsi" w:hAnsiTheme="minorHAnsi"/>
          <w:bCs/>
          <w:iCs/>
        </w:rPr>
        <w:t xml:space="preserve">, </w:t>
      </w:r>
      <w:r w:rsidRPr="004C4C18">
        <w:rPr>
          <w:rFonts w:asciiTheme="minorHAnsi" w:hAnsiTheme="minorHAnsi"/>
          <w:bCs/>
          <w:iCs/>
        </w:rPr>
        <w:t>David Mebane</w:t>
      </w:r>
      <w:r w:rsidR="001D5954" w:rsidRPr="004C4C18">
        <w:rPr>
          <w:rFonts w:asciiTheme="minorHAnsi" w:hAnsiTheme="minorHAnsi"/>
          <w:bCs/>
          <w:iCs/>
          <w:vertAlign w:val="superscript"/>
        </w:rPr>
        <w:t>1,</w:t>
      </w:r>
      <w:r w:rsidRPr="004C4C18">
        <w:rPr>
          <w:rFonts w:asciiTheme="minorHAnsi" w:hAnsiTheme="minorHAnsi"/>
          <w:bCs/>
          <w:iCs/>
          <w:vertAlign w:val="superscript"/>
        </w:rPr>
        <w:t>3</w:t>
      </w:r>
      <w:r w:rsidRPr="004C4C18">
        <w:rPr>
          <w:rFonts w:asciiTheme="minorHAnsi" w:hAnsiTheme="minorHAnsi"/>
          <w:bCs/>
          <w:iCs/>
        </w:rPr>
        <w:t xml:space="preserve">, </w:t>
      </w:r>
      <w:proofErr w:type="spellStart"/>
      <w:r w:rsidRPr="004C4C18">
        <w:rPr>
          <w:rFonts w:asciiTheme="minorHAnsi" w:hAnsiTheme="minorHAnsi"/>
          <w:bCs/>
          <w:iCs/>
        </w:rPr>
        <w:t>Xueyan</w:t>
      </w:r>
      <w:proofErr w:type="spellEnd"/>
      <w:r w:rsidRPr="004C4C18">
        <w:rPr>
          <w:rFonts w:asciiTheme="minorHAnsi" w:hAnsiTheme="minorHAnsi"/>
          <w:bCs/>
          <w:iCs/>
        </w:rPr>
        <w:t xml:space="preserve"> Song</w:t>
      </w:r>
      <w:r w:rsidRPr="004C4C18">
        <w:rPr>
          <w:rFonts w:asciiTheme="minorHAnsi" w:hAnsiTheme="minorHAnsi"/>
          <w:bCs/>
          <w:iCs/>
          <w:vertAlign w:val="superscript"/>
        </w:rPr>
        <w:t>1,3</w:t>
      </w:r>
      <w:r w:rsidRPr="004C4C18">
        <w:rPr>
          <w:rFonts w:asciiTheme="minorHAnsi" w:hAnsiTheme="minorHAnsi"/>
          <w:bCs/>
          <w:iCs/>
        </w:rPr>
        <w:t xml:space="preserve">, </w:t>
      </w:r>
      <w:proofErr w:type="spellStart"/>
      <w:r w:rsidR="001D5954" w:rsidRPr="004C4C18">
        <w:rPr>
          <w:rFonts w:asciiTheme="minorHAnsi" w:hAnsiTheme="minorHAnsi"/>
          <w:bCs/>
          <w:iCs/>
        </w:rPr>
        <w:t>Yun</w:t>
      </w:r>
      <w:proofErr w:type="spellEnd"/>
      <w:r w:rsidR="00244ABD" w:rsidRPr="004C4C18">
        <w:rPr>
          <w:rFonts w:asciiTheme="minorHAnsi" w:hAnsiTheme="minorHAnsi"/>
          <w:bCs/>
          <w:iCs/>
        </w:rPr>
        <w:t xml:space="preserve"> Chen</w:t>
      </w:r>
      <w:r w:rsidR="00244ABD" w:rsidRPr="004C4C18">
        <w:rPr>
          <w:rFonts w:asciiTheme="minorHAnsi" w:hAnsiTheme="minorHAnsi"/>
          <w:bCs/>
          <w:iCs/>
          <w:vertAlign w:val="superscript"/>
        </w:rPr>
        <w:t>1,</w:t>
      </w:r>
      <w:r w:rsidRPr="004C4C18">
        <w:rPr>
          <w:rFonts w:asciiTheme="minorHAnsi" w:hAnsiTheme="minorHAnsi"/>
          <w:bCs/>
          <w:iCs/>
          <w:vertAlign w:val="superscript"/>
        </w:rPr>
        <w:t>3</w:t>
      </w:r>
      <w:r w:rsidR="00244ABD" w:rsidRPr="004C4C18">
        <w:rPr>
          <w:rFonts w:asciiTheme="minorHAnsi" w:hAnsiTheme="minorHAnsi"/>
          <w:bCs/>
          <w:iCs/>
        </w:rPr>
        <w:t>, Kirk Gerdes</w:t>
      </w:r>
      <w:r w:rsidR="00244ABD" w:rsidRPr="004C4C18">
        <w:rPr>
          <w:rFonts w:asciiTheme="minorHAnsi" w:hAnsiTheme="minorHAnsi"/>
          <w:bCs/>
          <w:iCs/>
          <w:vertAlign w:val="superscript"/>
        </w:rPr>
        <w:t>1</w:t>
      </w:r>
    </w:p>
    <w:p w:rsidR="00244ABD" w:rsidRPr="004C4C18" w:rsidRDefault="00244ABD" w:rsidP="005A3A9D">
      <w:pPr>
        <w:spacing w:after="0" w:line="240" w:lineRule="auto"/>
        <w:jc w:val="center"/>
        <w:outlineLvl w:val="0"/>
        <w:rPr>
          <w:rFonts w:asciiTheme="minorHAnsi" w:hAnsiTheme="minorHAnsi"/>
        </w:rPr>
      </w:pPr>
      <w:r w:rsidRPr="004C4C18">
        <w:rPr>
          <w:rFonts w:asciiTheme="minorHAnsi" w:hAnsiTheme="minorHAnsi"/>
          <w:vertAlign w:val="superscript"/>
        </w:rPr>
        <w:t>1</w:t>
      </w:r>
      <w:r w:rsidR="004C4C18">
        <w:rPr>
          <w:rFonts w:asciiTheme="minorHAnsi" w:hAnsiTheme="minorHAnsi"/>
        </w:rPr>
        <w:t>U.S. DOE/</w:t>
      </w:r>
      <w:r w:rsidRPr="004C4C18">
        <w:rPr>
          <w:rFonts w:asciiTheme="minorHAnsi" w:hAnsiTheme="minorHAnsi"/>
        </w:rPr>
        <w:t>Nationa</w:t>
      </w:r>
      <w:r w:rsidR="004C4C18">
        <w:rPr>
          <w:rFonts w:asciiTheme="minorHAnsi" w:hAnsiTheme="minorHAnsi"/>
        </w:rPr>
        <w:t>l Energy Technology Laboratory</w:t>
      </w:r>
    </w:p>
    <w:p w:rsidR="00244ABD" w:rsidRPr="004C4C18" w:rsidRDefault="00244ABD" w:rsidP="005A3A9D">
      <w:pPr>
        <w:spacing w:after="0" w:line="240" w:lineRule="auto"/>
        <w:jc w:val="center"/>
        <w:outlineLvl w:val="0"/>
        <w:rPr>
          <w:rFonts w:asciiTheme="minorHAnsi" w:hAnsiTheme="minorHAnsi"/>
        </w:rPr>
      </w:pPr>
      <w:r w:rsidRPr="004C4C18">
        <w:rPr>
          <w:rFonts w:asciiTheme="minorHAnsi" w:hAnsiTheme="minorHAnsi"/>
          <w:vertAlign w:val="superscript"/>
        </w:rPr>
        <w:t>2</w:t>
      </w:r>
      <w:r w:rsidR="004C4C18">
        <w:rPr>
          <w:rFonts w:asciiTheme="minorHAnsi" w:hAnsiTheme="minorHAnsi"/>
        </w:rPr>
        <w:t>West Virginia University</w:t>
      </w:r>
      <w:r w:rsidR="004C4C18" w:rsidRPr="004C4C18">
        <w:rPr>
          <w:rFonts w:asciiTheme="minorHAnsi" w:hAnsiTheme="minorHAnsi"/>
        </w:rPr>
        <w:t xml:space="preserve"> </w:t>
      </w:r>
      <w:r w:rsidR="004C4C18">
        <w:rPr>
          <w:rFonts w:asciiTheme="minorHAnsi" w:hAnsiTheme="minorHAnsi"/>
        </w:rPr>
        <w:t>(Dept.</w:t>
      </w:r>
      <w:r w:rsidR="004C4C18" w:rsidRPr="004C4C18">
        <w:rPr>
          <w:rFonts w:asciiTheme="minorHAnsi" w:hAnsiTheme="minorHAnsi"/>
        </w:rPr>
        <w:t xml:space="preserve"> Chemistry</w:t>
      </w:r>
      <w:r w:rsidR="004C4C18">
        <w:rPr>
          <w:rFonts w:asciiTheme="minorHAnsi" w:hAnsiTheme="minorHAnsi"/>
        </w:rPr>
        <w:t>)</w:t>
      </w:r>
    </w:p>
    <w:p w:rsidR="003D7753" w:rsidRPr="004C4C18" w:rsidRDefault="003D7753" w:rsidP="005A3A9D">
      <w:pPr>
        <w:spacing w:after="0" w:line="240" w:lineRule="auto"/>
        <w:jc w:val="center"/>
        <w:outlineLvl w:val="0"/>
        <w:rPr>
          <w:rFonts w:asciiTheme="minorHAnsi" w:hAnsiTheme="minorHAnsi"/>
        </w:rPr>
      </w:pPr>
      <w:r w:rsidRPr="004C4C18">
        <w:rPr>
          <w:rFonts w:asciiTheme="minorHAnsi" w:hAnsiTheme="minorHAnsi"/>
          <w:vertAlign w:val="superscript"/>
        </w:rPr>
        <w:t>3</w:t>
      </w:r>
      <w:r w:rsidRPr="004C4C18">
        <w:rPr>
          <w:rFonts w:asciiTheme="minorHAnsi" w:hAnsiTheme="minorHAnsi"/>
        </w:rPr>
        <w:t>West Virginia University</w:t>
      </w:r>
      <w:r w:rsidR="004C4C18" w:rsidRPr="004C4C18">
        <w:rPr>
          <w:rFonts w:asciiTheme="minorHAnsi" w:hAnsiTheme="minorHAnsi"/>
        </w:rPr>
        <w:t xml:space="preserve"> </w:t>
      </w:r>
      <w:r w:rsidR="004C4C18">
        <w:rPr>
          <w:rFonts w:asciiTheme="minorHAnsi" w:hAnsiTheme="minorHAnsi"/>
        </w:rPr>
        <w:t>(Dept.</w:t>
      </w:r>
      <w:r w:rsidR="004C4C18" w:rsidRPr="004C4C18">
        <w:rPr>
          <w:rFonts w:asciiTheme="minorHAnsi" w:hAnsiTheme="minorHAnsi"/>
        </w:rPr>
        <w:t xml:space="preserve"> Mec</w:t>
      </w:r>
      <w:r w:rsidR="004C4C18">
        <w:rPr>
          <w:rFonts w:asciiTheme="minorHAnsi" w:hAnsiTheme="minorHAnsi"/>
        </w:rPr>
        <w:t>hanical &amp; Aerospace Engineering)</w:t>
      </w:r>
    </w:p>
    <w:p w:rsidR="004C4C18" w:rsidRPr="004C4C18" w:rsidRDefault="004C4C18" w:rsidP="004C4C18">
      <w:pPr>
        <w:spacing w:after="0" w:line="240" w:lineRule="auto"/>
        <w:jc w:val="center"/>
        <w:outlineLvl w:val="0"/>
        <w:rPr>
          <w:rFonts w:asciiTheme="minorHAnsi" w:hAnsiTheme="minorHAnsi"/>
          <w:bCs/>
          <w:iCs/>
        </w:rPr>
      </w:pPr>
      <w:proofErr w:type="gramStart"/>
      <w:r>
        <w:rPr>
          <w:rFonts w:asciiTheme="minorHAnsi" w:hAnsiTheme="minorHAnsi"/>
        </w:rPr>
        <w:t>e-mail</w:t>
      </w:r>
      <w:proofErr w:type="gramEnd"/>
      <w:r>
        <w:rPr>
          <w:rFonts w:asciiTheme="minorHAnsi" w:hAnsiTheme="minorHAnsi"/>
        </w:rPr>
        <w:t xml:space="preserve">: </w:t>
      </w:r>
      <w:hyperlink r:id="rId5" w:history="1">
        <w:r w:rsidRPr="004C4C18">
          <w:rPr>
            <w:rStyle w:val="Hyperlink"/>
            <w:rFonts w:asciiTheme="minorHAnsi" w:hAnsiTheme="minorHAnsi"/>
            <w:bCs/>
            <w:iCs/>
          </w:rPr>
          <w:t>Harry.Finklea@mail.wvu.edu</w:t>
        </w:r>
      </w:hyperlink>
      <w:r w:rsidRPr="004C4C18">
        <w:rPr>
          <w:rFonts w:asciiTheme="minorHAnsi" w:hAnsiTheme="minorHAnsi"/>
          <w:bCs/>
          <w:iCs/>
        </w:rPr>
        <w:t xml:space="preserve"> Phone: (304) 293-4742</w:t>
      </w:r>
    </w:p>
    <w:p w:rsidR="004C4C18" w:rsidRDefault="004C4C18" w:rsidP="007A4373">
      <w:pPr>
        <w:spacing w:after="0" w:line="240" w:lineRule="auto"/>
        <w:rPr>
          <w:rFonts w:asciiTheme="minorHAnsi" w:hAnsiTheme="minorHAnsi"/>
          <w:bCs/>
          <w:iCs/>
        </w:rPr>
      </w:pPr>
    </w:p>
    <w:p w:rsidR="00244ABD" w:rsidRPr="004C4C18" w:rsidRDefault="00244ABD" w:rsidP="007A4373">
      <w:pPr>
        <w:spacing w:after="0" w:line="240" w:lineRule="auto"/>
        <w:rPr>
          <w:rFonts w:asciiTheme="minorHAnsi" w:hAnsiTheme="minorHAnsi"/>
          <w:bCs/>
          <w:iCs/>
        </w:rPr>
      </w:pPr>
      <w:r w:rsidRPr="004C4C18">
        <w:rPr>
          <w:rFonts w:asciiTheme="minorHAnsi" w:hAnsiTheme="minorHAnsi"/>
          <w:bCs/>
          <w:iCs/>
        </w:rPr>
        <w:t xml:space="preserve">The NETL-RUA (Regional University Alliance) Fuel Cell team has </w:t>
      </w:r>
      <w:r w:rsidR="00A607A0" w:rsidRPr="004C4C18">
        <w:rPr>
          <w:rFonts w:asciiTheme="minorHAnsi" w:hAnsiTheme="minorHAnsi"/>
          <w:bCs/>
          <w:iCs/>
        </w:rPr>
        <w:t>recently reported interesting reversible aging behavior of (La</w:t>
      </w:r>
      <w:r w:rsidR="001D5954" w:rsidRPr="004C4C18">
        <w:rPr>
          <w:rFonts w:asciiTheme="minorHAnsi" w:hAnsiTheme="minorHAnsi"/>
          <w:bCs/>
          <w:iCs/>
          <w:vertAlign w:val="subscript"/>
        </w:rPr>
        <w:t>0.8</w:t>
      </w:r>
      <w:r w:rsidR="00A607A0" w:rsidRPr="004C4C18">
        <w:rPr>
          <w:rFonts w:asciiTheme="minorHAnsi" w:hAnsiTheme="minorHAnsi"/>
          <w:bCs/>
          <w:iCs/>
        </w:rPr>
        <w:t>Sr</w:t>
      </w:r>
      <w:r w:rsidR="001D5954" w:rsidRPr="004C4C18">
        <w:rPr>
          <w:rFonts w:asciiTheme="minorHAnsi" w:hAnsiTheme="minorHAnsi"/>
          <w:bCs/>
          <w:iCs/>
          <w:vertAlign w:val="subscript"/>
        </w:rPr>
        <w:t>0.2</w:t>
      </w:r>
      <w:r w:rsidR="00A607A0" w:rsidRPr="004C4C18">
        <w:rPr>
          <w:rFonts w:asciiTheme="minorHAnsi" w:hAnsiTheme="minorHAnsi"/>
          <w:bCs/>
          <w:iCs/>
        </w:rPr>
        <w:t>)MnO</w:t>
      </w:r>
      <w:r w:rsidR="001D5954" w:rsidRPr="004C4C18">
        <w:rPr>
          <w:rFonts w:asciiTheme="minorHAnsi" w:hAnsiTheme="minorHAnsi"/>
          <w:bCs/>
          <w:iCs/>
          <w:vertAlign w:val="subscript"/>
        </w:rPr>
        <w:t>3</w:t>
      </w:r>
      <w:r w:rsidR="00A607A0" w:rsidRPr="004C4C18">
        <w:rPr>
          <w:rFonts w:asciiTheme="minorHAnsi" w:hAnsiTheme="minorHAnsi"/>
          <w:bCs/>
          <w:iCs/>
        </w:rPr>
        <w:t xml:space="preserve"> (LSM) cathodes at open circuit voltage (OCV):  the polarization resistance at OCV of an LSM electrode increases while aging at 700ºC, in contrast with </w:t>
      </w:r>
      <w:r w:rsidR="005D3158" w:rsidRPr="004C4C18">
        <w:rPr>
          <w:rFonts w:asciiTheme="minorHAnsi" w:hAnsiTheme="minorHAnsi"/>
          <w:bCs/>
          <w:iCs/>
        </w:rPr>
        <w:t xml:space="preserve">a decrease in polarization resistance with time while </w:t>
      </w:r>
      <w:r w:rsidR="00A607A0" w:rsidRPr="004C4C18">
        <w:rPr>
          <w:rFonts w:asciiTheme="minorHAnsi" w:hAnsiTheme="minorHAnsi"/>
          <w:bCs/>
          <w:iCs/>
        </w:rPr>
        <w:t xml:space="preserve">aging at 800ºC.  The behavior is reversible as the sample is cycled between the two temperatures.  This behavior has been attributed to reversible changes in the electrode’s </w:t>
      </w:r>
      <w:r w:rsidR="00354E6F" w:rsidRPr="004C4C18">
        <w:rPr>
          <w:rFonts w:asciiTheme="minorHAnsi" w:hAnsiTheme="minorHAnsi"/>
          <w:bCs/>
          <w:iCs/>
        </w:rPr>
        <w:t>surface composition.</w:t>
      </w:r>
    </w:p>
    <w:p w:rsidR="002A797D" w:rsidRPr="004C4C18" w:rsidRDefault="002A797D" w:rsidP="007A4373">
      <w:pPr>
        <w:spacing w:after="0" w:line="240" w:lineRule="auto"/>
        <w:rPr>
          <w:rFonts w:asciiTheme="minorHAnsi" w:hAnsiTheme="minorHAnsi"/>
          <w:bCs/>
          <w:iCs/>
        </w:rPr>
      </w:pPr>
    </w:p>
    <w:p w:rsidR="00244ABD" w:rsidRPr="004C4C18" w:rsidRDefault="002A797D" w:rsidP="007A4373">
      <w:pPr>
        <w:spacing w:after="0" w:line="240" w:lineRule="auto"/>
        <w:rPr>
          <w:rFonts w:asciiTheme="minorHAnsi" w:hAnsiTheme="minorHAnsi"/>
          <w:bCs/>
          <w:iCs/>
        </w:rPr>
      </w:pPr>
      <w:r w:rsidRPr="004C4C18">
        <w:rPr>
          <w:rFonts w:asciiTheme="minorHAnsi" w:hAnsiTheme="minorHAnsi"/>
          <w:bCs/>
          <w:iCs/>
        </w:rPr>
        <w:t xml:space="preserve">As it difficult to study the composition and nanostructure of a porous </w:t>
      </w:r>
      <w:r w:rsidR="00B86594" w:rsidRPr="004C4C18">
        <w:rPr>
          <w:rFonts w:asciiTheme="minorHAnsi" w:hAnsiTheme="minorHAnsi"/>
          <w:bCs/>
          <w:iCs/>
        </w:rPr>
        <w:t>electrode surface, commercial LSM powder was sintered into a dense p</w:t>
      </w:r>
      <w:r w:rsidR="00266850" w:rsidRPr="004C4C18">
        <w:rPr>
          <w:rFonts w:asciiTheme="minorHAnsi" w:hAnsiTheme="minorHAnsi"/>
          <w:bCs/>
          <w:iCs/>
        </w:rPr>
        <w:t xml:space="preserve">ellet and then thermally aged similarly to the porous electrode samples.  The surfaces of the dense pellets were characterized by SEM, TEM, and XPS.  </w:t>
      </w:r>
      <w:r w:rsidR="005D3158" w:rsidRPr="004C4C18">
        <w:rPr>
          <w:rFonts w:asciiTheme="minorHAnsi" w:hAnsiTheme="minorHAnsi"/>
          <w:bCs/>
          <w:iCs/>
        </w:rPr>
        <w:t>Grain</w:t>
      </w:r>
      <w:r w:rsidR="00266850" w:rsidRPr="004C4C18">
        <w:rPr>
          <w:rFonts w:asciiTheme="minorHAnsi" w:hAnsiTheme="minorHAnsi"/>
          <w:bCs/>
          <w:iCs/>
        </w:rPr>
        <w:t xml:space="preserve"> surfaces that were smooth after densification became faceted and covered with </w:t>
      </w:r>
      <w:proofErr w:type="spellStart"/>
      <w:r w:rsidR="00353E0D" w:rsidRPr="004C4C18">
        <w:rPr>
          <w:rFonts w:asciiTheme="minorHAnsi" w:hAnsiTheme="minorHAnsi"/>
          <w:bCs/>
          <w:iCs/>
        </w:rPr>
        <w:t>nanoparticles</w:t>
      </w:r>
      <w:proofErr w:type="spellEnd"/>
      <w:r w:rsidR="00353E0D" w:rsidRPr="004C4C18">
        <w:rPr>
          <w:rFonts w:asciiTheme="minorHAnsi" w:hAnsiTheme="minorHAnsi"/>
          <w:bCs/>
          <w:iCs/>
        </w:rPr>
        <w:t xml:space="preserve">, depending on the </w:t>
      </w:r>
      <w:proofErr w:type="gramStart"/>
      <w:r w:rsidR="00353E0D" w:rsidRPr="004C4C18">
        <w:rPr>
          <w:rFonts w:asciiTheme="minorHAnsi" w:hAnsiTheme="minorHAnsi"/>
          <w:bCs/>
          <w:iCs/>
        </w:rPr>
        <w:t>aging</w:t>
      </w:r>
      <w:proofErr w:type="gramEnd"/>
      <w:r w:rsidR="00353E0D" w:rsidRPr="004C4C18">
        <w:rPr>
          <w:rFonts w:asciiTheme="minorHAnsi" w:hAnsiTheme="minorHAnsi"/>
          <w:bCs/>
          <w:iCs/>
        </w:rPr>
        <w:t xml:space="preserve"> cycle.  Changes in the </w:t>
      </w:r>
      <w:proofErr w:type="spellStart"/>
      <w:r w:rsidR="00353E0D" w:rsidRPr="004C4C18">
        <w:rPr>
          <w:rFonts w:asciiTheme="minorHAnsi" w:hAnsiTheme="minorHAnsi"/>
          <w:bCs/>
          <w:iCs/>
        </w:rPr>
        <w:t>La</w:t>
      </w:r>
      <w:proofErr w:type="gramStart"/>
      <w:r w:rsidR="00353E0D" w:rsidRPr="004C4C18">
        <w:rPr>
          <w:rFonts w:asciiTheme="minorHAnsi" w:hAnsiTheme="minorHAnsi"/>
          <w:bCs/>
          <w:iCs/>
        </w:rPr>
        <w:t>:Sr</w:t>
      </w:r>
      <w:proofErr w:type="spellEnd"/>
      <w:proofErr w:type="gramEnd"/>
      <w:r w:rsidR="00353E0D" w:rsidRPr="004C4C18">
        <w:rPr>
          <w:rFonts w:asciiTheme="minorHAnsi" w:hAnsiTheme="minorHAnsi"/>
          <w:bCs/>
          <w:iCs/>
        </w:rPr>
        <w:t xml:space="preserve"> ratio, as well as the A:B ratio for this ABO</w:t>
      </w:r>
      <w:r w:rsidR="001D5954" w:rsidRPr="004C4C18">
        <w:rPr>
          <w:rFonts w:asciiTheme="minorHAnsi" w:hAnsiTheme="minorHAnsi"/>
          <w:bCs/>
          <w:iCs/>
          <w:vertAlign w:val="subscript"/>
        </w:rPr>
        <w:t>3</w:t>
      </w:r>
      <w:r w:rsidR="00353E0D" w:rsidRPr="004C4C18">
        <w:rPr>
          <w:rFonts w:asciiTheme="minorHAnsi" w:hAnsiTheme="minorHAnsi"/>
          <w:bCs/>
          <w:iCs/>
        </w:rPr>
        <w:t xml:space="preserve">-based material, were also observed.  These results, when coupled with </w:t>
      </w:r>
      <w:r w:rsidR="005D3158" w:rsidRPr="004C4C18">
        <w:rPr>
          <w:rFonts w:asciiTheme="minorHAnsi" w:hAnsiTheme="minorHAnsi"/>
          <w:bCs/>
          <w:iCs/>
        </w:rPr>
        <w:t xml:space="preserve">the </w:t>
      </w:r>
      <w:r w:rsidR="00353E0D" w:rsidRPr="004C4C18">
        <w:rPr>
          <w:rFonts w:asciiTheme="minorHAnsi" w:hAnsiTheme="minorHAnsi"/>
          <w:bCs/>
          <w:iCs/>
        </w:rPr>
        <w:t xml:space="preserve">porous electrode electrochemical measurements, indicate thermodynamic driving forces </w:t>
      </w:r>
      <w:r w:rsidR="005D3158" w:rsidRPr="004C4C18">
        <w:rPr>
          <w:rFonts w:asciiTheme="minorHAnsi" w:hAnsiTheme="minorHAnsi"/>
          <w:bCs/>
          <w:iCs/>
        </w:rPr>
        <w:t>withi</w:t>
      </w:r>
      <w:r w:rsidR="00353E0D" w:rsidRPr="004C4C18">
        <w:rPr>
          <w:rFonts w:asciiTheme="minorHAnsi" w:hAnsiTheme="minorHAnsi"/>
          <w:bCs/>
          <w:iCs/>
        </w:rPr>
        <w:t>n the studied temperature range that affect the surface composition</w:t>
      </w:r>
      <w:r w:rsidR="005D3158" w:rsidRPr="004C4C18">
        <w:rPr>
          <w:rFonts w:asciiTheme="minorHAnsi" w:hAnsiTheme="minorHAnsi"/>
          <w:bCs/>
          <w:iCs/>
        </w:rPr>
        <w:t xml:space="preserve"> – and </w:t>
      </w:r>
      <w:r w:rsidR="00353E0D" w:rsidRPr="004C4C18">
        <w:rPr>
          <w:rFonts w:asciiTheme="minorHAnsi" w:hAnsiTheme="minorHAnsi"/>
          <w:bCs/>
          <w:iCs/>
        </w:rPr>
        <w:t>thus the catalytic properties</w:t>
      </w:r>
      <w:r w:rsidR="005D3158" w:rsidRPr="004C4C18">
        <w:rPr>
          <w:rFonts w:asciiTheme="minorHAnsi" w:hAnsiTheme="minorHAnsi"/>
          <w:bCs/>
          <w:iCs/>
        </w:rPr>
        <w:t xml:space="preserve"> –</w:t>
      </w:r>
      <w:r w:rsidR="00353E0D" w:rsidRPr="004C4C18">
        <w:rPr>
          <w:rFonts w:asciiTheme="minorHAnsi" w:hAnsiTheme="minorHAnsi"/>
          <w:bCs/>
          <w:iCs/>
        </w:rPr>
        <w:t xml:space="preserve"> of LSM.</w:t>
      </w:r>
    </w:p>
    <w:p w:rsidR="00244ABD" w:rsidRPr="004C4C18" w:rsidRDefault="00244ABD" w:rsidP="007A4373">
      <w:pPr>
        <w:spacing w:after="0" w:line="240" w:lineRule="auto"/>
        <w:rPr>
          <w:rFonts w:asciiTheme="minorHAnsi" w:hAnsiTheme="minorHAnsi"/>
          <w:bCs/>
          <w:iCs/>
        </w:rPr>
      </w:pPr>
    </w:p>
    <w:p w:rsidR="00244ABD" w:rsidRPr="004C4C18" w:rsidRDefault="00244ABD" w:rsidP="007A4373">
      <w:pPr>
        <w:spacing w:after="0" w:line="240" w:lineRule="auto"/>
        <w:rPr>
          <w:rFonts w:asciiTheme="minorHAnsi" w:hAnsiTheme="minorHAnsi"/>
          <w:bCs/>
          <w:iCs/>
        </w:rPr>
      </w:pPr>
    </w:p>
    <w:p w:rsidR="00244ABD" w:rsidRPr="004C4C18" w:rsidRDefault="00244ABD" w:rsidP="007A4373">
      <w:pPr>
        <w:spacing w:after="0" w:line="240" w:lineRule="auto"/>
        <w:rPr>
          <w:rFonts w:asciiTheme="minorHAnsi" w:hAnsiTheme="minorHAnsi"/>
          <w:bCs/>
          <w:iCs/>
        </w:rPr>
      </w:pPr>
    </w:p>
    <w:sectPr w:rsidR="00244ABD" w:rsidRPr="004C4C18" w:rsidSect="00F11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47C67"/>
    <w:multiLevelType w:val="hybridMultilevel"/>
    <w:tmpl w:val="96C45868"/>
    <w:lvl w:ilvl="0" w:tplc="0532B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660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4045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28E3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649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7AEE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EFCD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5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982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CE2056"/>
    <w:multiLevelType w:val="hybridMultilevel"/>
    <w:tmpl w:val="804EB374"/>
    <w:lvl w:ilvl="0" w:tplc="F1EE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F025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6AA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9EB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1C1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36CAD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4E9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B45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6C33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3C2F3E"/>
    <w:multiLevelType w:val="hybridMultilevel"/>
    <w:tmpl w:val="151EA3AA"/>
    <w:lvl w:ilvl="0" w:tplc="2A9E7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CCE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22E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0E6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F4CC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C8E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CC3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4AE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D004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E183395"/>
    <w:multiLevelType w:val="hybridMultilevel"/>
    <w:tmpl w:val="48764B26"/>
    <w:lvl w:ilvl="0" w:tplc="70305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DC7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9E3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16B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2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623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FCC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185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40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551"/>
    <w:rsid w:val="00006C57"/>
    <w:rsid w:val="00066853"/>
    <w:rsid w:val="00083D3F"/>
    <w:rsid w:val="00095554"/>
    <w:rsid w:val="00096040"/>
    <w:rsid w:val="001379B0"/>
    <w:rsid w:val="00145E1C"/>
    <w:rsid w:val="00192CF6"/>
    <w:rsid w:val="00194A25"/>
    <w:rsid w:val="001D10D5"/>
    <w:rsid w:val="001D3469"/>
    <w:rsid w:val="001D5954"/>
    <w:rsid w:val="001E6CE1"/>
    <w:rsid w:val="00227B75"/>
    <w:rsid w:val="002414BF"/>
    <w:rsid w:val="00242C30"/>
    <w:rsid w:val="00244ABD"/>
    <w:rsid w:val="00266850"/>
    <w:rsid w:val="00285137"/>
    <w:rsid w:val="002A797D"/>
    <w:rsid w:val="002B05DD"/>
    <w:rsid w:val="002B31AD"/>
    <w:rsid w:val="002B523E"/>
    <w:rsid w:val="002B6227"/>
    <w:rsid w:val="002B62D7"/>
    <w:rsid w:val="002E1C92"/>
    <w:rsid w:val="00310441"/>
    <w:rsid w:val="00352E07"/>
    <w:rsid w:val="00353E0D"/>
    <w:rsid w:val="00354E6F"/>
    <w:rsid w:val="003857B8"/>
    <w:rsid w:val="00385F99"/>
    <w:rsid w:val="003A75BC"/>
    <w:rsid w:val="003D5E09"/>
    <w:rsid w:val="003D7753"/>
    <w:rsid w:val="003E233B"/>
    <w:rsid w:val="003F6B37"/>
    <w:rsid w:val="0040352E"/>
    <w:rsid w:val="00433061"/>
    <w:rsid w:val="00463835"/>
    <w:rsid w:val="00471BAD"/>
    <w:rsid w:val="00474490"/>
    <w:rsid w:val="004B7184"/>
    <w:rsid w:val="004C4C18"/>
    <w:rsid w:val="004C7EA7"/>
    <w:rsid w:val="00516BB9"/>
    <w:rsid w:val="0054306D"/>
    <w:rsid w:val="0057568F"/>
    <w:rsid w:val="00580929"/>
    <w:rsid w:val="0059481F"/>
    <w:rsid w:val="005A3A9D"/>
    <w:rsid w:val="005D3158"/>
    <w:rsid w:val="005E1B75"/>
    <w:rsid w:val="0062408C"/>
    <w:rsid w:val="00625C9E"/>
    <w:rsid w:val="0065159C"/>
    <w:rsid w:val="006617DF"/>
    <w:rsid w:val="00666551"/>
    <w:rsid w:val="00682BA1"/>
    <w:rsid w:val="006A039C"/>
    <w:rsid w:val="00777A4D"/>
    <w:rsid w:val="007A4373"/>
    <w:rsid w:val="007E046E"/>
    <w:rsid w:val="007E203C"/>
    <w:rsid w:val="007F6B19"/>
    <w:rsid w:val="00801BA6"/>
    <w:rsid w:val="00837A97"/>
    <w:rsid w:val="00872A7C"/>
    <w:rsid w:val="008C659D"/>
    <w:rsid w:val="008D0C8A"/>
    <w:rsid w:val="00946BCA"/>
    <w:rsid w:val="00970344"/>
    <w:rsid w:val="009C36AD"/>
    <w:rsid w:val="009D2BFF"/>
    <w:rsid w:val="009E0908"/>
    <w:rsid w:val="00A607A0"/>
    <w:rsid w:val="00A6147C"/>
    <w:rsid w:val="00A94FE9"/>
    <w:rsid w:val="00AA0B26"/>
    <w:rsid w:val="00B10136"/>
    <w:rsid w:val="00B2388A"/>
    <w:rsid w:val="00B26DDB"/>
    <w:rsid w:val="00B45FC4"/>
    <w:rsid w:val="00B57576"/>
    <w:rsid w:val="00B76304"/>
    <w:rsid w:val="00B77B16"/>
    <w:rsid w:val="00B77F04"/>
    <w:rsid w:val="00B86594"/>
    <w:rsid w:val="00BC1D52"/>
    <w:rsid w:val="00BE4832"/>
    <w:rsid w:val="00C03B78"/>
    <w:rsid w:val="00C278DB"/>
    <w:rsid w:val="00C31EFD"/>
    <w:rsid w:val="00C51C64"/>
    <w:rsid w:val="00C70E34"/>
    <w:rsid w:val="00C94BAF"/>
    <w:rsid w:val="00CC007A"/>
    <w:rsid w:val="00CE3887"/>
    <w:rsid w:val="00D21C13"/>
    <w:rsid w:val="00D31A18"/>
    <w:rsid w:val="00D76B25"/>
    <w:rsid w:val="00DA7873"/>
    <w:rsid w:val="00DD421F"/>
    <w:rsid w:val="00E05279"/>
    <w:rsid w:val="00E1126C"/>
    <w:rsid w:val="00E117AF"/>
    <w:rsid w:val="00E1708F"/>
    <w:rsid w:val="00E2052E"/>
    <w:rsid w:val="00E3082C"/>
    <w:rsid w:val="00E65E51"/>
    <w:rsid w:val="00EA529E"/>
    <w:rsid w:val="00EB594B"/>
    <w:rsid w:val="00EC0866"/>
    <w:rsid w:val="00EC3E68"/>
    <w:rsid w:val="00EF52BE"/>
    <w:rsid w:val="00EF5E15"/>
    <w:rsid w:val="00F10112"/>
    <w:rsid w:val="00F11E5B"/>
    <w:rsid w:val="00F91463"/>
    <w:rsid w:val="00FB10B3"/>
    <w:rsid w:val="00FE41AB"/>
    <w:rsid w:val="00FF5FA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51"/>
    <w:pPr>
      <w:spacing w:after="200" w:line="276" w:lineRule="auto"/>
    </w:pPr>
    <w:rPr>
      <w:rFonts w:eastAsia="Malgun Gothi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A437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A3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A3A9D"/>
    <w:rPr>
      <w:rFonts w:ascii="Tahoma" w:eastAsia="Malgun Gothic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4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2BFF"/>
    <w:rPr>
      <w:rFonts w:ascii="Times New Roman" w:eastAsia="Malgun Gothic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3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3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ry.Finklea@mail.wvu.ed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esn.PN0000042337\Application%20Data\Microsoft\Templates\New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NewDoc.dotx</Template>
  <TotalTime>1</TotalTime>
  <Pages>1</Pages>
  <Words>242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Crystallographic structure and stability of Pt-substituted LSCo electrocatalyst with SOFC operation</vt:lpstr>
    </vt:vector>
  </TitlesOfParts>
  <Company>U.S. Dept. Of Energy, NETL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Crystallographic structure and stability of Pt-substituted LSCo electrocatalyst with SOFC operation</dc:title>
  <dc:subject/>
  <dc:creator>Reviewer</dc:creator>
  <cp:keywords/>
  <dc:description/>
  <cp:lastModifiedBy>Lockhart</cp:lastModifiedBy>
  <cp:revision>2</cp:revision>
  <cp:lastPrinted>2013-06-12T20:43:00Z</cp:lastPrinted>
  <dcterms:created xsi:type="dcterms:W3CDTF">2013-08-01T14:06:00Z</dcterms:created>
  <dcterms:modified xsi:type="dcterms:W3CDTF">2013-08-01T14:06:00Z</dcterms:modified>
</cp:coreProperties>
</file>